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乐至县中医医院电缆采购项目（第三次）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33227.41元。</w:t>
      </w:r>
      <w:bookmarkStart w:id="14" w:name="_GoBack"/>
      <w:bookmarkEnd w:id="1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lang w:eastAsia="zh-CN"/>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采购YJLV22-0.6/1KV-4×240+1×120型铠装地埋铝芯电缆150米</w:t>
      </w:r>
      <w:r>
        <w:rPr>
          <w:rFonts w:hint="eastAsia" w:ascii="仿宋" w:hAnsi="仿宋" w:eastAsia="仿宋" w:cs="仿宋"/>
          <w:color w:val="000000"/>
          <w:sz w:val="24"/>
          <w:szCs w:val="24"/>
          <w:highlight w:val="none"/>
          <w:lang w:val="en-US" w:eastAsia="zh-CN"/>
        </w:rPr>
        <w:t>，完成铺设并接入配电房总接地和住院大楼一层配电房总接地。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四、技术参数要求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1.电缆：</w:t>
      </w:r>
      <w:r>
        <w:rPr>
          <w:rFonts w:hint="default" w:ascii="仿宋" w:hAnsi="仿宋" w:eastAsia="仿宋" w:cs="仿宋"/>
          <w:color w:val="000000"/>
          <w:sz w:val="24"/>
          <w:szCs w:val="24"/>
          <w:highlight w:val="none"/>
          <w:lang w:val="en-US" w:eastAsia="zh-CN"/>
        </w:rPr>
        <w:t>YJLV22-0.6/1KV-4×240+1×120型铠装地埋铝芯电缆</w:t>
      </w:r>
      <w:r>
        <w:rPr>
          <w:rFonts w:hint="eastAsia" w:ascii="仿宋" w:hAnsi="仿宋" w:eastAsia="仿宋" w:cs="仿宋"/>
          <w:color w:val="000000"/>
          <w:sz w:val="24"/>
          <w:szCs w:val="24"/>
          <w:highlight w:val="none"/>
          <w:lang w:val="en-US" w:eastAsia="zh-CN"/>
        </w:rPr>
        <w:t>，长度：</w:t>
      </w:r>
      <w:r>
        <w:rPr>
          <w:rFonts w:hint="default" w:ascii="仿宋" w:hAnsi="仿宋" w:eastAsia="仿宋" w:cs="仿宋"/>
          <w:color w:val="000000"/>
          <w:sz w:val="24"/>
          <w:szCs w:val="24"/>
          <w:highlight w:val="none"/>
          <w:lang w:val="en-US" w:eastAsia="zh-CN"/>
        </w:rPr>
        <w:t>150米</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电缆两头终端制作材料，选用国标A级加厚DTL-240铜铝冷压端子8只，国标A级加厚DTL-120铜铝冷压端子2只，以上二种型号铜铝冷压端子均采用20T六角围压液压钳压接，保证压接紧密，并用直径30mm和20mm热缩绝缘管恢复绝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3.铠装电缆屏蔽层两端接地材料，用已有95平方铜芯线作屏蔽层接地，用4只300A开口铜端子分别接入配电房总接地和住院大楼一层配电房总接地，以杜绝电磁信号干扰。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4.供货时提供本批次产品检测合格报告及合格证，产品属于国家强制 3C 认证的供货时须提供强制 3C 认证证书（电缆）。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5.本项目实施过程中需根据现场实际情况进行相关的土建基础、电缆等所有配套设施。供应商负责货物安装、调试，直至采购人能正常使用，所需的一切材料、配件、专业工具均由供应商负责提供。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6.安装人员需持电工证上岗。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7.供应商须承诺若成交后在本项目履约或服务工作中一切的安全生产责任全部自行承担（需提供承诺函）。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1.本项目严禁成交供应商将承包合同义务转包。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2.成交供应商须将货物运输至采购人指定地点，所有运输及装卸和搬运费用由成交人承担。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3.供应商须提供全新的货物，表面无划伤、无碰撞痕迹，且权属清楚，不得侵害他人的知识产权，并按照相关要求包装完好。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4</w:t>
      </w:r>
      <w:r>
        <w:rPr>
          <w:rFonts w:hint="default" w:ascii="仿宋" w:hAnsi="仿宋" w:eastAsia="仿宋" w:cs="仿宋"/>
          <w:color w:val="000000"/>
          <w:sz w:val="24"/>
          <w:szCs w:val="24"/>
          <w:highlight w:val="none"/>
          <w:lang w:eastAsia="zh-CN"/>
        </w:rPr>
        <w:t>.货物到达采购人指定地点后，须进行开箱清点及初步检验，双方应派人员参加。凡由于供应商对合同货物包装不善、标记不明、防护措施不当或在合同货物装箱前保管不良，致使合同货物遭到损坏或丢失，供应商应负责免费更换或补足，并承担由此给采购人造成的一切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lang w:val="en-US" w:eastAsia="zh-CN"/>
        </w:rPr>
        <w:t>产品制造质量出现问题，供应商负责三包(包修、包换、包退)，一切费用由供应商承担。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eastAsia="zh-CN"/>
        </w:rPr>
        <w:t>6.</w:t>
      </w:r>
      <w:r>
        <w:rPr>
          <w:rFonts w:hint="eastAsia" w:ascii="仿宋" w:hAnsi="仿宋" w:eastAsia="仿宋" w:cs="仿宋"/>
          <w:color w:val="000000"/>
          <w:sz w:val="24"/>
          <w:szCs w:val="24"/>
          <w:highlight w:val="none"/>
          <w:lang w:val="en-US" w:eastAsia="zh-CN"/>
        </w:rPr>
        <w:t>售后服务要求：（1）质保期为验收合格之日起 1 年，质保期内非人为、自然因素损坏，免费整体更换，各项产品必须有产品合格证书；（2）质保期间提供 7×24 小时的技术支持服务，配置专门固定的售后服务电话，质保期内出现质量问题，成交人在接到通知后 2 小时内响应到场，4 小时内完成维修或更换，并承担修理调换的费用；如货物经 2 次维修仍不能达到本合同约定的质量标准，视作成交人未能按时交货，甲方有权退货并追究成交人的违约责任；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★六、商务要求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1.交货时间及交货地点：自合同签到之日起3个工作日内交付安装至采购人指定地点，并调试完好。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default" w:ascii="仿宋" w:hAnsi="仿宋" w:eastAsia="仿宋" w:cs="仿宋"/>
          <w:color w:val="000000"/>
          <w:sz w:val="24"/>
          <w:szCs w:val="24"/>
          <w:highlight w:val="none"/>
          <w:lang w:val="en-US" w:eastAsia="zh-CN"/>
        </w:rPr>
        <w:t>合同价是供应商响应采购项目要求的全部工作内容的价格体现，包含供应商的管理费、人工费、器具使用费、场地费、交通费、差旅费、运输费、安装费等为完成本项目内容所需的一切费用，采购人不在另行支付任何费用</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（1）货物安装调试交付完成试用60天后，由供应商提出验收申请，采购人7天内组织验收，验收合格后支付合同总金额的100%。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支付款项前，供应商须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注：以上带★号的内容（项）为本次采购项目的实质性要求，不允许负偏离，否则作为无效响应处理。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br w:type="page"/>
      </w:r>
    </w:p>
    <w:p>
      <w:pPr>
        <w:pStyle w:val="3"/>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部分响应文件格式</w:t>
      </w:r>
      <w:bookmarkStart w:id="0" w:name="_Toc480465181"/>
      <w:bookmarkStart w:id="1" w:name="_Toc480465253"/>
      <w:bookmarkStart w:id="2" w:name="_Toc479951676"/>
      <w:bookmarkStart w:id="3" w:name="_Toc480465353"/>
    </w:p>
    <w:bookmarkEnd w:id="0"/>
    <w:bookmarkEnd w:id="1"/>
    <w:bookmarkEnd w:id="2"/>
    <w:bookmarkEnd w:id="3"/>
    <w:p>
      <w:pPr>
        <w:tabs>
          <w:tab w:val="left" w:pos="900"/>
        </w:tabs>
        <w:spacing w:line="360" w:lineRule="auto"/>
        <w:jc w:val="center"/>
        <w:outlineLvl w:val="0"/>
        <w:rPr>
          <w:rFonts w:hint="eastAsia"/>
          <w:b/>
          <w:color w:val="auto"/>
          <w:sz w:val="32"/>
        </w:rPr>
      </w:pPr>
      <w:bookmarkStart w:id="4" w:name="_Toc1189"/>
      <w:r>
        <w:rPr>
          <w:rFonts w:hint="eastAsia"/>
          <w:b/>
          <w:color w:val="auto"/>
          <w:sz w:val="32"/>
        </w:rPr>
        <w:t>第</w:t>
      </w:r>
      <w:bookmarkStart w:id="5" w:name="第一部分"/>
      <w:bookmarkEnd w:id="5"/>
      <w:r>
        <w:rPr>
          <w:rFonts w:hint="eastAsia"/>
          <w:b/>
          <w:color w:val="auto"/>
          <w:sz w:val="32"/>
        </w:rPr>
        <w:t>一部分  “资格性响应文件”格式</w:t>
      </w:r>
      <w:bookmarkEnd w:id="4"/>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16"/>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60" w:lineRule="auto"/>
        <w:jc w:val="left"/>
        <w:outlineLvl w:val="1"/>
        <w:rPr>
          <w:rFonts w:hint="eastAsia" w:eastAsia="黑体"/>
          <w:b/>
          <w:color w:val="auto"/>
          <w:sz w:val="32"/>
          <w:szCs w:val="32"/>
        </w:rPr>
      </w:pPr>
      <w:r>
        <w:rPr>
          <w:rFonts w:hint="eastAsia"/>
          <w:b/>
          <w:color w:val="auto"/>
          <w:sz w:val="24"/>
        </w:rPr>
        <w:t>格式1-3</w:t>
      </w: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17"/>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w:t>
      </w:r>
      <w:r>
        <w:rPr>
          <w:rFonts w:hint="eastAsia" w:eastAsia="黑体"/>
          <w:b/>
          <w:color w:val="auto"/>
          <w:sz w:val="32"/>
          <w:szCs w:val="32"/>
          <w:lang w:eastAsia="zh-CN"/>
        </w:rPr>
        <w:t>资格</w:t>
      </w:r>
      <w:r>
        <w:rPr>
          <w:rFonts w:hint="eastAsia" w:eastAsia="黑体"/>
          <w:b/>
          <w:color w:val="auto"/>
          <w:sz w:val="32"/>
          <w:szCs w:val="32"/>
        </w:rPr>
        <w:t>、</w:t>
      </w:r>
      <w:r>
        <w:rPr>
          <w:rFonts w:hint="eastAsia" w:eastAsia="黑体"/>
          <w:b/>
          <w:color w:val="auto"/>
          <w:sz w:val="32"/>
          <w:szCs w:val="32"/>
          <w:lang w:eastAsia="zh-CN"/>
        </w:rPr>
        <w:t>资质性及其他类似效力</w:t>
      </w:r>
      <w:r>
        <w:rPr>
          <w:rFonts w:hint="eastAsia" w:eastAsia="黑体"/>
          <w:b/>
          <w:color w:val="auto"/>
          <w:sz w:val="32"/>
          <w:szCs w:val="32"/>
        </w:rPr>
        <w:t>要求的相关证明材料</w:t>
      </w:r>
    </w:p>
    <w:p>
      <w:pPr>
        <w:rPr>
          <w:rFonts w:ascii="宋体" w:hAnsi="宋体" w:cs="宋体"/>
          <w:bCs/>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1、营业执照（《事业单位法人证书》）副本复印件、税务登记证副本复印件、组织机构代码证副本复印件并加盖供应商鲜章（如已实行三证合一的，提供有效的三证合一副本复印件并加盖供应商鲜章即可）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2、提供财务报表或资信证明，</w:t>
      </w:r>
      <w:r>
        <w:rPr>
          <w:rFonts w:hint="eastAsia" w:ascii="宋体" w:hAnsi="宋体" w:cs="宋体"/>
          <w:b w:val="0"/>
          <w:bCs w:val="0"/>
          <w:color w:val="auto"/>
          <w:sz w:val="24"/>
          <w:lang w:val="en-US" w:eastAsia="zh-CN"/>
        </w:rPr>
        <w:t>可以是：①提供2021至2023年任一年度经审计的财务报告复印件（包含审计报告和审计报告中所涉及的财务报表和报表附注）；②提供2021至2023年任一年度投标人内部的财务报表复印件（至少包含资产负债表）；③提供距文件递交截止日一年内银行出具的资信证明（复印件）；④投标人注册时间至文件递交截止日不足一年的，提供公司章程复印件；⑤投标人为事业单位或其他组织（不具备法人条件的组织，如合伙组织、个体工商户、农村承包经营户等）或自然人时，可只提供承诺函〕；（注：具备健全的财务会计制度的证明材料中第①-⑤项具有同等效力，投标人可根据自身实际情况选择提供其中任意一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3、纳税证明材料</w:t>
      </w:r>
    </w:p>
    <w:p>
      <w:pPr>
        <w:spacing w:line="360" w:lineRule="auto"/>
        <w:ind w:firstLine="482" w:firstLineChars="200"/>
        <w:rPr>
          <w:rFonts w:hint="eastAsia"/>
          <w:color w:val="auto"/>
          <w:sz w:val="24"/>
        </w:rPr>
      </w:pPr>
      <w:r>
        <w:rPr>
          <w:rFonts w:hint="eastAsia" w:ascii="宋体" w:hAnsi="宋体" w:cs="宋体"/>
          <w:b/>
          <w:bCs/>
          <w:color w:val="auto"/>
          <w:sz w:val="24"/>
          <w:lang w:eastAsia="zh-CN"/>
        </w:rPr>
        <w:t>本部分证明材料</w:t>
      </w:r>
      <w:r>
        <w:rPr>
          <w:rFonts w:hint="eastAsia" w:ascii="宋体" w:hAnsi="宋体" w:cs="宋体"/>
          <w:b/>
          <w:bCs/>
          <w:color w:val="auto"/>
          <w:sz w:val="24"/>
        </w:rPr>
        <w:t>格式自拟。</w:t>
      </w: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ascii="宋体" w:hAnsi="宋体"/>
          <w:b/>
          <w:color w:val="auto"/>
          <w:sz w:val="32"/>
        </w:rPr>
      </w:pPr>
      <w:bookmarkStart w:id="6" w:name="第二部分"/>
      <w:bookmarkEnd w:id="6"/>
      <w:bookmarkStart w:id="7" w:name="_Toc4182"/>
    </w:p>
    <w:p>
      <w:pPr>
        <w:tabs>
          <w:tab w:val="left" w:pos="900"/>
        </w:tabs>
        <w:spacing w:line="360" w:lineRule="auto"/>
        <w:jc w:val="center"/>
        <w:outlineLvl w:val="0"/>
        <w:rPr>
          <w:rFonts w:ascii="宋体" w:hAnsi="宋体"/>
          <w:b/>
          <w:color w:val="auto"/>
          <w:sz w:val="32"/>
        </w:rPr>
      </w:pPr>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7"/>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w:t>
      </w:r>
      <w:r>
        <w:rPr>
          <w:rFonts w:hint="eastAsia"/>
          <w:color w:val="auto"/>
          <w:sz w:val="24"/>
          <w:highlight w:val="none"/>
        </w:rPr>
        <w:t>求向采购人提</w:t>
      </w:r>
      <w:r>
        <w:rPr>
          <w:rFonts w:hint="eastAsia"/>
          <w:color w:val="auto"/>
          <w:sz w:val="24"/>
        </w:rPr>
        <w:t>供所需货物/服务，报价为</w:t>
      </w:r>
      <w:r>
        <w:rPr>
          <w:rFonts w:hint="eastAsia" w:ascii="仿宋" w:hAnsi="仿宋" w:eastAsia="仿宋" w:cs="仿宋"/>
          <w:b/>
          <w:bCs/>
          <w:color w:val="000000"/>
          <w:sz w:val="24"/>
          <w:szCs w:val="24"/>
          <w:highlight w:val="none"/>
          <w:u w:val="single"/>
          <w:lang w:val="en-US" w:eastAsia="zh-CN"/>
        </w:rPr>
        <w:t xml:space="preserve">      </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lang w:eastAsia="zh-CN"/>
        </w:rPr>
      </w:pPr>
      <w:r>
        <w:rPr>
          <w:rFonts w:hint="eastAsia" w:eastAsia="黑体"/>
          <w:b/>
          <w:color w:val="auto"/>
          <w:sz w:val="32"/>
          <w:szCs w:val="32"/>
        </w:rPr>
        <w:t>四、</w:t>
      </w:r>
      <w:r>
        <w:rPr>
          <w:rFonts w:hint="eastAsia" w:eastAsia="黑体"/>
          <w:b/>
          <w:color w:val="auto"/>
          <w:sz w:val="32"/>
          <w:szCs w:val="32"/>
          <w:lang w:eastAsia="zh-CN"/>
        </w:rPr>
        <w:t>开标一览</w:t>
      </w:r>
      <w:r>
        <w:rPr>
          <w:rFonts w:hint="eastAsia" w:eastAsia="黑体"/>
          <w:b/>
          <w:color w:val="auto"/>
          <w:sz w:val="32"/>
          <w:szCs w:val="32"/>
        </w:rPr>
        <w:t>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left"/>
              <w:rPr>
                <w:rFonts w:hint="eastAsia" w:eastAsiaTheme="minorEastAsia"/>
                <w:color w:val="auto"/>
                <w:sz w:val="24"/>
                <w:lang w:eastAsia="zh-CN"/>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五、分项报价</w:t>
      </w:r>
      <w:r>
        <w:rPr>
          <w:rFonts w:hint="eastAsia"/>
          <w:b/>
          <w:color w:val="auto"/>
          <w:sz w:val="32"/>
          <w:szCs w:val="32"/>
        </w:rPr>
        <w:t>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pPr>
              <w:ind w:left="-105" w:leftChars="-50" w:right="-105" w:rightChars="-50"/>
              <w:jc w:val="center"/>
              <w:rPr>
                <w:rFonts w:hint="eastAsia"/>
                <w:b/>
                <w:color w:val="auto"/>
                <w:sz w:val="24"/>
                <w:lang w:eastAsia="zh-CN"/>
              </w:rPr>
            </w:pPr>
            <w:r>
              <w:rPr>
                <w:rFonts w:hint="eastAsia"/>
                <w:b/>
                <w:color w:val="auto"/>
                <w:sz w:val="24"/>
                <w:lang w:eastAsia="zh-CN"/>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8" w:name="_Toc436385992"/>
      <w:bookmarkStart w:id="9" w:name="_Toc436820890"/>
      <w:bookmarkStart w:id="10" w:name="_Toc436410129"/>
      <w:bookmarkStart w:id="11" w:name="_Toc436404120"/>
      <w:bookmarkStart w:id="12" w:name="_Toc307564880"/>
      <w:r>
        <w:rPr>
          <w:rFonts w:hint="eastAsia"/>
          <w:color w:val="auto"/>
        </w:rPr>
        <w:br w:type="page"/>
      </w:r>
      <w:bookmarkEnd w:id="8"/>
      <w:bookmarkEnd w:id="9"/>
      <w:bookmarkEnd w:id="10"/>
      <w:bookmarkEnd w:id="11"/>
      <w:bookmarkEnd w:id="12"/>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eastAsia" w:ascii="宋体" w:hAnsi="宋体" w:cs="宋体"/>
          <w:b w:val="0"/>
          <w:bCs w:val="0"/>
          <w:color w:val="auto"/>
          <w:sz w:val="24"/>
          <w:lang w:val="en-US" w:eastAsia="zh-CN"/>
        </w:rPr>
        <w:t>注：类似业绩需提供合同复印件，合同内容应清晰、无打码、脱页、附件齐全。</w:t>
      </w:r>
    </w:p>
    <w:p>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3"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3"/>
      <w:r>
        <w:rPr>
          <w:rFonts w:hint="eastAsia" w:eastAsia="黑体"/>
          <w:b/>
          <w:color w:val="auto"/>
          <w:sz w:val="32"/>
          <w:szCs w:val="32"/>
          <w:lang w:eastAsia="zh-CN"/>
        </w:rPr>
        <w:t>产品彩页、实物外观、服务过程等证明资料</w:t>
      </w:r>
    </w:p>
    <w:p>
      <w:pPr>
        <w:rPr>
          <w:color w:val="auto"/>
        </w:rPr>
      </w:pPr>
    </w:p>
    <w:p>
      <w:pPr>
        <w:pStyle w:val="10"/>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2"/>
        <w:rPr>
          <w:rFonts w:hint="eastAsia"/>
          <w:lang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highlight w:val="none"/>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00481AE2"/>
    <w:rsid w:val="00450166"/>
    <w:rsid w:val="00481AE2"/>
    <w:rsid w:val="00737186"/>
    <w:rsid w:val="00896D75"/>
    <w:rsid w:val="00CD62AA"/>
    <w:rsid w:val="01353F7F"/>
    <w:rsid w:val="05705731"/>
    <w:rsid w:val="09FF2C83"/>
    <w:rsid w:val="0C300E1D"/>
    <w:rsid w:val="0CC1066F"/>
    <w:rsid w:val="0D112956"/>
    <w:rsid w:val="0FA430A8"/>
    <w:rsid w:val="122670DE"/>
    <w:rsid w:val="13AA2164"/>
    <w:rsid w:val="178D6EBD"/>
    <w:rsid w:val="1C4A2E57"/>
    <w:rsid w:val="1CAF422B"/>
    <w:rsid w:val="1D740886"/>
    <w:rsid w:val="1DBE6EBB"/>
    <w:rsid w:val="1E9C300C"/>
    <w:rsid w:val="1F90634B"/>
    <w:rsid w:val="20BD6CCC"/>
    <w:rsid w:val="20D81E76"/>
    <w:rsid w:val="23AB2B2B"/>
    <w:rsid w:val="23B90B75"/>
    <w:rsid w:val="24EC4456"/>
    <w:rsid w:val="25067240"/>
    <w:rsid w:val="258F5081"/>
    <w:rsid w:val="2E6D4943"/>
    <w:rsid w:val="2F3C7955"/>
    <w:rsid w:val="30354AD0"/>
    <w:rsid w:val="31674597"/>
    <w:rsid w:val="32A31C6D"/>
    <w:rsid w:val="33E260F9"/>
    <w:rsid w:val="3526120F"/>
    <w:rsid w:val="358704DB"/>
    <w:rsid w:val="36C616C8"/>
    <w:rsid w:val="36E175BE"/>
    <w:rsid w:val="378E1DA7"/>
    <w:rsid w:val="39537D75"/>
    <w:rsid w:val="3C27442E"/>
    <w:rsid w:val="3C6F2073"/>
    <w:rsid w:val="3CCA2A44"/>
    <w:rsid w:val="3E400A87"/>
    <w:rsid w:val="40E7704C"/>
    <w:rsid w:val="41874A60"/>
    <w:rsid w:val="432027B3"/>
    <w:rsid w:val="438057C2"/>
    <w:rsid w:val="43FF559C"/>
    <w:rsid w:val="444061A2"/>
    <w:rsid w:val="45CA5863"/>
    <w:rsid w:val="473B6592"/>
    <w:rsid w:val="48D367DD"/>
    <w:rsid w:val="48E77E6C"/>
    <w:rsid w:val="48F8063F"/>
    <w:rsid w:val="493107AA"/>
    <w:rsid w:val="49E167C3"/>
    <w:rsid w:val="4B920BD1"/>
    <w:rsid w:val="4E1B0F03"/>
    <w:rsid w:val="52BD79C5"/>
    <w:rsid w:val="52DB1E9D"/>
    <w:rsid w:val="54077C2A"/>
    <w:rsid w:val="57671164"/>
    <w:rsid w:val="635B7642"/>
    <w:rsid w:val="651E2200"/>
    <w:rsid w:val="65CF3416"/>
    <w:rsid w:val="70267017"/>
    <w:rsid w:val="705E5850"/>
    <w:rsid w:val="74242CF0"/>
    <w:rsid w:val="77183564"/>
    <w:rsid w:val="79FF6C6C"/>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5">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spacing w:after="120"/>
      <w:jc w:val="left"/>
    </w:pPr>
    <w:rPr>
      <w:kern w:val="0"/>
      <w:sz w:val="24"/>
      <w:szCs w:val="24"/>
    </w:rPr>
  </w:style>
  <w:style w:type="paragraph" w:styleId="6">
    <w:name w:val="Body Text Indent"/>
    <w:basedOn w:val="1"/>
    <w:autoRedefine/>
    <w:qFormat/>
    <w:uiPriority w:val="0"/>
    <w:pPr>
      <w:ind w:firstLine="630"/>
    </w:pPr>
    <w:rPr>
      <w:sz w:val="32"/>
      <w:szCs w:val="20"/>
    </w:rPr>
  </w:style>
  <w:style w:type="paragraph" w:styleId="7">
    <w:name w:val="Balloon Text"/>
    <w:basedOn w:val="1"/>
    <w:link w:val="15"/>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2"/>
    <w:basedOn w:val="6"/>
    <w:qFormat/>
    <w:uiPriority w:val="0"/>
    <w:pPr>
      <w:ind w:left="0" w:leftChars="0" w:firstLine="200" w:firstLineChars="200"/>
      <w:jc w:val="left"/>
    </w:pPr>
    <w:rPr>
      <w:rFonts w:ascii="宋体" w:hAnsi="宋体"/>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7"/>
    <w:autoRedefine/>
    <w:semiHidden/>
    <w:qFormat/>
    <w:uiPriority w:val="99"/>
    <w:rPr>
      <w:sz w:val="18"/>
      <w:szCs w:val="18"/>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8">
    <w:name w:val="font11"/>
    <w:basedOn w:val="14"/>
    <w:autoRedefine/>
    <w:qFormat/>
    <w:uiPriority w:val="0"/>
    <w:rPr>
      <w:rFonts w:hint="eastAsia" w:ascii="宋体" w:hAnsi="宋体" w:eastAsia="宋体" w:cs="宋体"/>
      <w:color w:val="000000"/>
      <w:sz w:val="20"/>
      <w:szCs w:val="20"/>
      <w:u w:val="none"/>
    </w:rPr>
  </w:style>
  <w:style w:type="character" w:customStyle="1" w:styleId="19">
    <w:name w:val="font31"/>
    <w:basedOn w:val="14"/>
    <w:autoRedefine/>
    <w:qFormat/>
    <w:uiPriority w:val="0"/>
    <w:rPr>
      <w:rFonts w:hint="default" w:ascii="Calibri" w:hAnsi="Calibri" w:cs="Calibri"/>
      <w:color w:val="000000"/>
      <w:sz w:val="20"/>
      <w:szCs w:val="20"/>
      <w:u w:val="none"/>
    </w:rPr>
  </w:style>
  <w:style w:type="character" w:customStyle="1" w:styleId="20">
    <w:name w:val="font41"/>
    <w:basedOn w:val="14"/>
    <w:autoRedefine/>
    <w:qFormat/>
    <w:uiPriority w:val="0"/>
    <w:rPr>
      <w:rFonts w:hint="default" w:ascii="Times New Roman" w:hAnsi="Times New Roman" w:cs="Times New Roman"/>
      <w:color w:val="000000"/>
      <w:sz w:val="20"/>
      <w:szCs w:val="20"/>
      <w:u w:val="none"/>
    </w:rPr>
  </w:style>
  <w:style w:type="table" w:customStyle="1" w:styleId="21">
    <w:name w:val="Table Normal_0_0"/>
    <w:autoRedefine/>
    <w:unhideWhenUsed/>
    <w:qFormat/>
    <w:uiPriority w:val="0"/>
    <w:pPr>
      <w:spacing w:after="200" w:line="276" w:lineRule="auto"/>
    </w:pPr>
    <w:rPr>
      <w:rFonts w:ascii="Times New Roman" w:hAnsi="Times New Roman" w:eastAsia="宋体" w:cs="Times New Roman"/>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4772</Words>
  <Characters>4965</Characters>
  <Lines>2</Lines>
  <Paragraphs>1</Paragraphs>
  <TotalTime>4</TotalTime>
  <ScaleCrop>false</ScaleCrop>
  <LinksUpToDate>false</LinksUpToDate>
  <CharactersWithSpaces>6629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2024-08-14T01:36:46Z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0CA0DFC31D7645B484EEE3DE98BC8F18_13</vt:lpwstr>
  </property>
</Properties>
</file>