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b w:val="0"/>
          <w:bCs/>
          <w:color w:val="auto"/>
          <w:highlight w:val="none"/>
        </w:rPr>
      </w:pPr>
    </w:p>
    <w:p>
      <w:pPr>
        <w:overflowPunct w:val="0"/>
        <w:spacing w:line="700" w:lineRule="exact"/>
        <w:jc w:val="center"/>
        <w:rPr>
          <w:rFonts w:hint="eastAsia" w:eastAsia="方正小标宋_GBK"/>
          <w:sz w:val="44"/>
          <w:szCs w:val="44"/>
          <w:lang w:val="en-US" w:eastAsia="zh-CN"/>
        </w:rPr>
      </w:pPr>
      <w:r>
        <w:rPr>
          <w:rFonts w:hint="eastAsia" w:eastAsia="方正小标宋_GBK"/>
          <w:sz w:val="44"/>
          <w:szCs w:val="44"/>
          <w:lang w:val="en-US" w:eastAsia="zh-CN"/>
        </w:rPr>
        <w:t>乐至县</w:t>
      </w:r>
      <w:r>
        <w:rPr>
          <w:rFonts w:hint="eastAsia" w:eastAsia="方正小标宋_GBK"/>
          <w:sz w:val="44"/>
          <w:szCs w:val="44"/>
          <w:lang w:eastAsia="zh-CN"/>
        </w:rPr>
        <w:t>中医医院</w:t>
      </w:r>
      <w:bookmarkStart w:id="0" w:name="_Toc3918_WPSOffice_Level1"/>
      <w:bookmarkStart w:id="1" w:name="_Toc23714_WPSOffice_Level1"/>
      <w:r>
        <w:rPr>
          <w:rFonts w:hint="eastAsia" w:eastAsia="方正小标宋_GBK"/>
          <w:sz w:val="44"/>
          <w:szCs w:val="44"/>
          <w:lang w:val="en-US" w:eastAsia="zh-CN"/>
        </w:rPr>
        <w:t>智慧医保</w:t>
      </w:r>
      <w:bookmarkEnd w:id="0"/>
      <w:bookmarkEnd w:id="1"/>
      <w:r>
        <w:rPr>
          <w:rFonts w:hint="eastAsia" w:eastAsia="方正小标宋_GBK"/>
          <w:sz w:val="44"/>
          <w:szCs w:val="44"/>
          <w:lang w:val="en-US" w:eastAsia="zh-CN"/>
        </w:rPr>
        <w:t>管理系统</w:t>
      </w:r>
    </w:p>
    <w:p>
      <w:pPr>
        <w:overflowPunct w:val="0"/>
        <w:spacing w:line="700" w:lineRule="exact"/>
        <w:jc w:val="center"/>
        <w:rPr>
          <w:rFonts w:hint="default" w:eastAsia="方正小标宋_GBK"/>
          <w:sz w:val="44"/>
          <w:szCs w:val="44"/>
          <w:lang w:val="en-US" w:eastAsia="zh-CN"/>
        </w:rPr>
      </w:pPr>
      <w:r>
        <w:rPr>
          <w:rFonts w:hint="eastAsia" w:eastAsia="方正小标宋_GBK"/>
          <w:sz w:val="44"/>
          <w:szCs w:val="44"/>
          <w:lang w:val="en-US" w:eastAsia="zh-CN"/>
        </w:rPr>
        <w:t>采购项目功能需求</w:t>
      </w:r>
    </w:p>
    <w:p>
      <w:pPr>
        <w:pStyle w:val="6"/>
        <w:rPr>
          <w:rFonts w:hint="eastAsia"/>
        </w:rPr>
      </w:pPr>
    </w:p>
    <w:p>
      <w:pPr>
        <w:pStyle w:val="6"/>
        <w:numPr>
          <w:ilvl w:val="0"/>
          <w:numId w:val="2"/>
        </w:numPr>
        <w:ind w:left="0" w:leftChars="0" w:firstLine="0" w:firstLineChars="0"/>
        <w:rPr>
          <w:rFonts w:hint="eastAsia" w:eastAsia="方正小标宋_GBK"/>
          <w:sz w:val="32"/>
          <w:szCs w:val="32"/>
          <w:lang w:val="en-US" w:eastAsia="zh-CN"/>
        </w:rPr>
      </w:pPr>
      <w:r>
        <w:rPr>
          <w:rFonts w:hint="eastAsia" w:eastAsia="方正小标宋_GBK"/>
          <w:sz w:val="32"/>
          <w:szCs w:val="32"/>
          <w:lang w:val="en-US" w:eastAsia="zh-CN"/>
        </w:rPr>
        <w:t>功能需求</w:t>
      </w:r>
    </w:p>
    <w:p>
      <w:pPr>
        <w:pStyle w:val="4"/>
      </w:pPr>
      <w:r>
        <w:rPr>
          <w:rFonts w:hint="eastAsia"/>
        </w:rPr>
        <w:t>DRG分组检测预警系统功能表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02"/>
        <w:gridCol w:w="1434"/>
        <w:gridCol w:w="5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pPr>
              <w:spacing w:line="240" w:lineRule="atLeast"/>
              <w:jc w:val="center"/>
              <w:rPr>
                <w:b/>
                <w:kern w:val="0"/>
              </w:rPr>
            </w:pPr>
            <w:r>
              <w:rPr>
                <w:rFonts w:hint="eastAsia"/>
                <w:b/>
                <w:kern w:val="0"/>
              </w:rPr>
              <w:t>序号</w:t>
            </w:r>
          </w:p>
        </w:tc>
        <w:tc>
          <w:tcPr>
            <w:tcW w:w="1602" w:type="dxa"/>
            <w:shd w:val="clear" w:color="auto" w:fill="auto"/>
            <w:vAlign w:val="top"/>
          </w:tcPr>
          <w:p>
            <w:pPr>
              <w:spacing w:line="240" w:lineRule="atLeast"/>
              <w:jc w:val="center"/>
              <w:outlineLvl w:val="0"/>
              <w:rPr>
                <w:b/>
                <w:kern w:val="0"/>
              </w:rPr>
            </w:pPr>
            <w:r>
              <w:rPr>
                <w:rFonts w:hint="eastAsia"/>
                <w:b/>
                <w:kern w:val="0"/>
              </w:rPr>
              <w:t>子系统</w:t>
            </w:r>
          </w:p>
        </w:tc>
        <w:tc>
          <w:tcPr>
            <w:tcW w:w="1434" w:type="dxa"/>
            <w:shd w:val="clear" w:color="auto" w:fill="auto"/>
            <w:vAlign w:val="top"/>
          </w:tcPr>
          <w:p>
            <w:pPr>
              <w:spacing w:line="240" w:lineRule="atLeast"/>
              <w:jc w:val="center"/>
              <w:outlineLvl w:val="0"/>
              <w:rPr>
                <w:b/>
                <w:kern w:val="0"/>
              </w:rPr>
            </w:pPr>
            <w:r>
              <w:rPr>
                <w:rFonts w:hint="eastAsia"/>
                <w:b/>
                <w:kern w:val="0"/>
              </w:rPr>
              <w:t>功能模块</w:t>
            </w:r>
          </w:p>
        </w:tc>
        <w:tc>
          <w:tcPr>
            <w:tcW w:w="5162" w:type="dxa"/>
            <w:shd w:val="clear" w:color="auto" w:fill="auto"/>
            <w:vAlign w:val="top"/>
          </w:tcPr>
          <w:p>
            <w:pPr>
              <w:spacing w:line="240" w:lineRule="atLeast"/>
              <w:jc w:val="center"/>
              <w:outlineLvl w:val="0"/>
              <w:rPr>
                <w:b/>
                <w:kern w:val="0"/>
              </w:rPr>
            </w:pPr>
            <w:r>
              <w:rPr>
                <w:rFonts w:hint="eastAsia"/>
                <w:b/>
                <w:kern w:val="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Pr>
          <w:p>
            <w:pPr>
              <w:spacing w:line="240" w:lineRule="atLeast"/>
              <w:jc w:val="center"/>
              <w:outlineLvl w:val="0"/>
              <w:rPr>
                <w:bCs/>
                <w:kern w:val="0"/>
                <w:sz w:val="21"/>
                <w:szCs w:val="21"/>
              </w:rPr>
            </w:pPr>
            <w:r>
              <w:rPr>
                <w:rFonts w:hint="eastAsia"/>
                <w:bCs/>
                <w:kern w:val="0"/>
                <w:sz w:val="21"/>
                <w:szCs w:val="21"/>
              </w:rPr>
              <w:t>1</w:t>
            </w:r>
          </w:p>
        </w:tc>
        <w:tc>
          <w:tcPr>
            <w:tcW w:w="1602" w:type="dxa"/>
            <w:vMerge w:val="restart"/>
          </w:tcPr>
          <w:p>
            <w:pPr>
              <w:spacing w:line="240" w:lineRule="atLeast"/>
              <w:jc w:val="center"/>
              <w:outlineLvl w:val="0"/>
              <w:rPr>
                <w:kern w:val="0"/>
                <w:sz w:val="21"/>
                <w:szCs w:val="21"/>
              </w:rPr>
            </w:pPr>
            <w:r>
              <w:rPr>
                <w:rFonts w:hint="eastAsia"/>
                <w:kern w:val="0"/>
                <w:sz w:val="21"/>
                <w:szCs w:val="21"/>
              </w:rPr>
              <w:t>在院病例DRG预分组系统</w:t>
            </w:r>
          </w:p>
        </w:tc>
        <w:tc>
          <w:tcPr>
            <w:tcW w:w="1434" w:type="dxa"/>
          </w:tcPr>
          <w:p>
            <w:pPr>
              <w:spacing w:line="240" w:lineRule="atLeast"/>
              <w:jc w:val="center"/>
              <w:outlineLvl w:val="0"/>
              <w:rPr>
                <w:kern w:val="0"/>
                <w:sz w:val="21"/>
                <w:szCs w:val="21"/>
              </w:rPr>
            </w:pPr>
            <w:r>
              <w:rPr>
                <w:rFonts w:hint="eastAsia"/>
                <w:kern w:val="0"/>
                <w:sz w:val="21"/>
                <w:szCs w:val="21"/>
              </w:rPr>
              <w:t>病案信息</w:t>
            </w:r>
          </w:p>
        </w:tc>
        <w:tc>
          <w:tcPr>
            <w:tcW w:w="5162" w:type="dxa"/>
          </w:tcPr>
          <w:p>
            <w:pPr>
              <w:numPr>
                <w:ilvl w:val="0"/>
                <w:numId w:val="3"/>
              </w:numPr>
              <w:spacing w:line="240" w:lineRule="atLeast"/>
              <w:outlineLvl w:val="0"/>
              <w:rPr>
                <w:kern w:val="0"/>
                <w:sz w:val="21"/>
                <w:szCs w:val="21"/>
              </w:rPr>
            </w:pPr>
            <w:r>
              <w:rPr>
                <w:rFonts w:hint="eastAsia"/>
                <w:kern w:val="0"/>
                <w:sz w:val="21"/>
                <w:szCs w:val="21"/>
              </w:rPr>
              <w:t>支持病案基础信息的查看；</w:t>
            </w:r>
          </w:p>
          <w:p>
            <w:pPr>
              <w:numPr>
                <w:ilvl w:val="0"/>
                <w:numId w:val="3"/>
              </w:numPr>
              <w:spacing w:line="240" w:lineRule="atLeast"/>
              <w:outlineLvl w:val="0"/>
              <w:rPr>
                <w:kern w:val="0"/>
                <w:sz w:val="21"/>
                <w:szCs w:val="21"/>
              </w:rPr>
            </w:pPr>
            <w:r>
              <w:rPr>
                <w:rFonts w:hint="eastAsia"/>
                <w:kern w:val="0"/>
                <w:sz w:val="21"/>
                <w:szCs w:val="21"/>
              </w:rPr>
              <w:t>支持病案信息指标的灵活可配及修改；</w:t>
            </w:r>
          </w:p>
          <w:p>
            <w:pPr>
              <w:numPr>
                <w:ilvl w:val="0"/>
                <w:numId w:val="3"/>
              </w:numPr>
              <w:spacing w:line="240" w:lineRule="atLeast"/>
              <w:outlineLvl w:val="0"/>
              <w:rPr>
                <w:kern w:val="0"/>
                <w:sz w:val="21"/>
                <w:szCs w:val="21"/>
              </w:rPr>
            </w:pPr>
            <w:r>
              <w:rPr>
                <w:rFonts w:hint="eastAsia"/>
                <w:kern w:val="0"/>
                <w:sz w:val="21"/>
                <w:szCs w:val="21"/>
              </w:rPr>
              <w:t>提供实时预警，包括费用预警、不合理入院预警、病案质控预警等，预警条件支持启用/关闭，通过智能监测不合理行为，降低费用超支风险；</w:t>
            </w:r>
          </w:p>
          <w:p>
            <w:pPr>
              <w:numPr>
                <w:ilvl w:val="0"/>
                <w:numId w:val="3"/>
              </w:numPr>
              <w:spacing w:line="240" w:lineRule="atLeast"/>
              <w:outlineLvl w:val="0"/>
              <w:rPr>
                <w:kern w:val="0"/>
                <w:sz w:val="21"/>
                <w:szCs w:val="21"/>
              </w:rPr>
            </w:pPr>
            <w:r>
              <w:rPr>
                <w:rFonts w:hint="eastAsia"/>
                <w:kern w:val="0"/>
                <w:sz w:val="21"/>
                <w:szCs w:val="21"/>
              </w:rPr>
              <w:t>支持再入院病例提示，再入院天数可通过系统配置设置，可查看历次相关住院的DRG分组与诊断/手术信息；</w:t>
            </w:r>
          </w:p>
          <w:p>
            <w:pPr>
              <w:numPr>
                <w:ilvl w:val="0"/>
                <w:numId w:val="3"/>
              </w:numPr>
              <w:spacing w:line="240" w:lineRule="atLeast"/>
              <w:outlineLvl w:val="0"/>
              <w:rPr>
                <w:kern w:val="0"/>
                <w:sz w:val="21"/>
                <w:szCs w:val="21"/>
              </w:rPr>
            </w:pPr>
            <w:r>
              <w:rPr>
                <w:rFonts w:hint="eastAsia"/>
                <w:kern w:val="0"/>
                <w:sz w:val="21"/>
                <w:szCs w:val="21"/>
              </w:rPr>
              <w:t>支持不合理入院规则配置设置；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pPr>
              <w:spacing w:line="240" w:lineRule="atLeast"/>
              <w:jc w:val="center"/>
              <w:rPr>
                <w:kern w:val="0"/>
                <w:sz w:val="21"/>
                <w:szCs w:val="21"/>
              </w:rPr>
            </w:pPr>
          </w:p>
        </w:tc>
        <w:tc>
          <w:tcPr>
            <w:tcW w:w="1602" w:type="dxa"/>
            <w:vMerge w:val="continue"/>
          </w:tcPr>
          <w:p>
            <w:pPr>
              <w:spacing w:line="240" w:lineRule="atLeast"/>
              <w:jc w:val="center"/>
              <w:rPr>
                <w:kern w:val="0"/>
                <w:sz w:val="21"/>
                <w:szCs w:val="21"/>
              </w:rPr>
            </w:pPr>
          </w:p>
        </w:tc>
        <w:tc>
          <w:tcPr>
            <w:tcW w:w="1434" w:type="dxa"/>
          </w:tcPr>
          <w:p>
            <w:pPr>
              <w:spacing w:line="240" w:lineRule="atLeast"/>
              <w:jc w:val="center"/>
              <w:outlineLvl w:val="0"/>
              <w:rPr>
                <w:kern w:val="0"/>
                <w:sz w:val="21"/>
                <w:szCs w:val="21"/>
              </w:rPr>
            </w:pPr>
            <w:r>
              <w:rPr>
                <w:rFonts w:hint="eastAsia"/>
                <w:kern w:val="0"/>
                <w:sz w:val="21"/>
                <w:szCs w:val="21"/>
              </w:rPr>
              <w:t>实时动态分组</w:t>
            </w:r>
          </w:p>
        </w:tc>
        <w:tc>
          <w:tcPr>
            <w:tcW w:w="5162" w:type="dxa"/>
          </w:tcPr>
          <w:p>
            <w:pPr>
              <w:spacing w:line="240" w:lineRule="atLeast"/>
              <w:outlineLvl w:val="0"/>
              <w:rPr>
                <w:rFonts w:hint="eastAsia" w:eastAsia="宋体"/>
                <w:kern w:val="0"/>
                <w:sz w:val="21"/>
                <w:szCs w:val="21"/>
                <w:lang w:eastAsia="zh-CN"/>
              </w:rPr>
            </w:pPr>
            <w:r>
              <w:rPr>
                <w:rFonts w:hint="eastAsia"/>
                <w:kern w:val="0"/>
                <w:sz w:val="21"/>
                <w:szCs w:val="21"/>
              </w:rPr>
              <w:t>1.支持分组器本地化适配，建立本地政策规则，应用算法实现模拟分配，支持实时查看DRG预测分组及拨付指标</w:t>
            </w:r>
            <w:r>
              <w:rPr>
                <w:rFonts w:hint="eastAsia"/>
                <w:kern w:val="0"/>
                <w:sz w:val="21"/>
                <w:szCs w:val="21"/>
                <w:lang w:eastAsia="zh-CN"/>
              </w:rPr>
              <w:t>；</w:t>
            </w:r>
          </w:p>
          <w:p>
            <w:pPr>
              <w:spacing w:line="240" w:lineRule="atLeast"/>
              <w:outlineLvl w:val="0"/>
              <w:rPr>
                <w:kern w:val="0"/>
                <w:sz w:val="21"/>
                <w:szCs w:val="21"/>
              </w:rPr>
            </w:pPr>
            <w:r>
              <w:rPr>
                <w:rFonts w:hint="eastAsia"/>
                <w:kern w:val="0"/>
                <w:sz w:val="21"/>
                <w:szCs w:val="21"/>
              </w:rPr>
              <w:t>2.支持患者的拨付指标与归属病组的付费标准进行对比；</w:t>
            </w:r>
          </w:p>
          <w:p>
            <w:pPr>
              <w:spacing w:line="240" w:lineRule="atLeast"/>
              <w:outlineLvl w:val="0"/>
              <w:rPr>
                <w:kern w:val="0"/>
                <w:sz w:val="21"/>
                <w:szCs w:val="21"/>
              </w:rPr>
            </w:pPr>
            <w:r>
              <w:rPr>
                <w:rFonts w:hint="eastAsia"/>
                <w:kern w:val="0"/>
                <w:sz w:val="21"/>
                <w:szCs w:val="21"/>
              </w:rPr>
              <w:t>3.支持拨付指标的灵活配置；</w:t>
            </w:r>
          </w:p>
          <w:p>
            <w:pPr>
              <w:spacing w:line="240" w:lineRule="atLeast"/>
              <w:outlineLvl w:val="0"/>
              <w:rPr>
                <w:kern w:val="0"/>
                <w:sz w:val="21"/>
                <w:szCs w:val="21"/>
              </w:rPr>
            </w:pPr>
            <w:r>
              <w:rPr>
                <w:rFonts w:hint="eastAsia"/>
                <w:kern w:val="0"/>
                <w:sz w:val="21"/>
                <w:szCs w:val="21"/>
              </w:rPr>
              <w:t>4.对于未入组病例，给与未入组原因；</w:t>
            </w:r>
          </w:p>
          <w:p>
            <w:pPr>
              <w:spacing w:line="240" w:lineRule="atLeast"/>
              <w:outlineLvl w:val="0"/>
              <w:rPr>
                <w:kern w:val="0"/>
                <w:sz w:val="21"/>
                <w:szCs w:val="21"/>
              </w:rPr>
            </w:pPr>
            <w:r>
              <w:rPr>
                <w:rFonts w:hint="eastAsia"/>
                <w:kern w:val="0"/>
                <w:sz w:val="21"/>
                <w:szCs w:val="21"/>
              </w:rPr>
              <w:t>5.支持部分指标的公式可视化，明确指标计算逻辑；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pPr>
              <w:spacing w:line="240" w:lineRule="atLeast"/>
              <w:jc w:val="center"/>
              <w:rPr>
                <w:kern w:val="0"/>
                <w:sz w:val="21"/>
                <w:szCs w:val="21"/>
              </w:rPr>
            </w:pPr>
          </w:p>
        </w:tc>
        <w:tc>
          <w:tcPr>
            <w:tcW w:w="1602" w:type="dxa"/>
            <w:vMerge w:val="continue"/>
          </w:tcPr>
          <w:p>
            <w:pPr>
              <w:spacing w:line="240" w:lineRule="atLeast"/>
              <w:jc w:val="center"/>
              <w:rPr>
                <w:kern w:val="0"/>
                <w:sz w:val="21"/>
                <w:szCs w:val="21"/>
              </w:rPr>
            </w:pPr>
          </w:p>
        </w:tc>
        <w:tc>
          <w:tcPr>
            <w:tcW w:w="1434" w:type="dxa"/>
          </w:tcPr>
          <w:p>
            <w:pPr>
              <w:spacing w:line="240" w:lineRule="atLeast"/>
              <w:jc w:val="center"/>
              <w:outlineLvl w:val="0"/>
              <w:rPr>
                <w:kern w:val="0"/>
                <w:sz w:val="21"/>
                <w:szCs w:val="21"/>
              </w:rPr>
            </w:pPr>
            <w:r>
              <w:rPr>
                <w:rFonts w:hint="eastAsia"/>
                <w:kern w:val="0"/>
                <w:sz w:val="21"/>
                <w:szCs w:val="21"/>
              </w:rPr>
              <w:t>大数据相似分组</w:t>
            </w:r>
          </w:p>
        </w:tc>
        <w:tc>
          <w:tcPr>
            <w:tcW w:w="5162" w:type="dxa"/>
          </w:tcPr>
          <w:p>
            <w:pPr>
              <w:spacing w:line="240" w:lineRule="atLeast"/>
              <w:outlineLvl w:val="0"/>
              <w:rPr>
                <w:kern w:val="0"/>
                <w:sz w:val="21"/>
                <w:szCs w:val="21"/>
              </w:rPr>
            </w:pPr>
            <w:r>
              <w:rPr>
                <w:rFonts w:hint="eastAsia"/>
                <w:kern w:val="0"/>
                <w:sz w:val="21"/>
                <w:szCs w:val="21"/>
              </w:rPr>
              <w:t>1.支持对医生填写的诊断和手术进行轮询分组测算，展示不同的轮询分组结果，为医生的诊断信息填写，提供分组参考；</w:t>
            </w:r>
          </w:p>
          <w:p>
            <w:pPr>
              <w:spacing w:line="240" w:lineRule="atLeast"/>
              <w:outlineLvl w:val="0"/>
              <w:rPr>
                <w:kern w:val="0"/>
                <w:sz w:val="21"/>
                <w:szCs w:val="21"/>
              </w:rPr>
            </w:pPr>
            <w:r>
              <w:rPr>
                <w:rFonts w:hint="eastAsia"/>
                <w:kern w:val="0"/>
                <w:sz w:val="21"/>
                <w:szCs w:val="21"/>
              </w:rPr>
              <w:t>2.支持不同分组的分组结果，按照预估结算费用/病种分值进行排序；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pPr>
              <w:spacing w:line="240" w:lineRule="atLeast"/>
              <w:jc w:val="center"/>
              <w:rPr>
                <w:kern w:val="0"/>
                <w:sz w:val="21"/>
                <w:szCs w:val="21"/>
              </w:rPr>
            </w:pPr>
          </w:p>
        </w:tc>
        <w:tc>
          <w:tcPr>
            <w:tcW w:w="1602" w:type="dxa"/>
            <w:vMerge w:val="continue"/>
          </w:tcPr>
          <w:p>
            <w:pPr>
              <w:spacing w:line="240" w:lineRule="atLeast"/>
              <w:jc w:val="center"/>
              <w:rPr>
                <w:kern w:val="0"/>
                <w:sz w:val="21"/>
                <w:szCs w:val="21"/>
              </w:rPr>
            </w:pPr>
          </w:p>
        </w:tc>
        <w:tc>
          <w:tcPr>
            <w:tcW w:w="1434" w:type="dxa"/>
          </w:tcPr>
          <w:p>
            <w:pPr>
              <w:spacing w:line="240" w:lineRule="atLeast"/>
              <w:jc w:val="center"/>
              <w:outlineLvl w:val="0"/>
              <w:rPr>
                <w:kern w:val="0"/>
                <w:sz w:val="21"/>
                <w:szCs w:val="21"/>
              </w:rPr>
            </w:pPr>
            <w:r>
              <w:rPr>
                <w:rFonts w:hint="eastAsia"/>
                <w:kern w:val="0"/>
                <w:sz w:val="21"/>
                <w:szCs w:val="21"/>
              </w:rPr>
              <w:t>大数据模拟分组</w:t>
            </w:r>
          </w:p>
        </w:tc>
        <w:tc>
          <w:tcPr>
            <w:tcW w:w="5162" w:type="dxa"/>
          </w:tcPr>
          <w:p>
            <w:pPr>
              <w:spacing w:line="240" w:lineRule="atLeast"/>
              <w:outlineLvl w:val="0"/>
              <w:rPr>
                <w:kern w:val="0"/>
                <w:sz w:val="21"/>
                <w:szCs w:val="21"/>
              </w:rPr>
            </w:pPr>
            <w:r>
              <w:rPr>
                <w:rFonts w:hint="eastAsia"/>
                <w:kern w:val="0"/>
                <w:sz w:val="21"/>
                <w:szCs w:val="21"/>
              </w:rPr>
              <w:t>1.支持一键导入单条在院病例信息，并提供增加或者修改病案信息权限；</w:t>
            </w:r>
          </w:p>
          <w:p>
            <w:pPr>
              <w:spacing w:line="240" w:lineRule="atLeast"/>
              <w:outlineLvl w:val="0"/>
              <w:rPr>
                <w:kern w:val="0"/>
                <w:sz w:val="21"/>
                <w:szCs w:val="21"/>
              </w:rPr>
            </w:pPr>
            <w:r>
              <w:rPr>
                <w:rFonts w:hint="eastAsia"/>
                <w:kern w:val="0"/>
                <w:sz w:val="21"/>
                <w:szCs w:val="21"/>
              </w:rPr>
              <w:t>2.为医生提供模拟分组小工具，支持医生进行诊断、手术编码的调整/修改，系统通过内在的分组引擎及拨付引擎，显示相应的分组结果与拨付结果；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pPr>
              <w:spacing w:line="240" w:lineRule="atLeast"/>
              <w:jc w:val="center"/>
              <w:rPr>
                <w:kern w:val="0"/>
                <w:sz w:val="21"/>
                <w:szCs w:val="21"/>
              </w:rPr>
            </w:pPr>
          </w:p>
        </w:tc>
        <w:tc>
          <w:tcPr>
            <w:tcW w:w="1602" w:type="dxa"/>
            <w:vMerge w:val="continue"/>
          </w:tcPr>
          <w:p>
            <w:pPr>
              <w:spacing w:line="240" w:lineRule="atLeast"/>
              <w:jc w:val="center"/>
              <w:rPr>
                <w:kern w:val="0"/>
                <w:sz w:val="21"/>
                <w:szCs w:val="21"/>
              </w:rPr>
            </w:pPr>
          </w:p>
        </w:tc>
        <w:tc>
          <w:tcPr>
            <w:tcW w:w="1434" w:type="dxa"/>
          </w:tcPr>
          <w:p>
            <w:pPr>
              <w:spacing w:line="240" w:lineRule="atLeast"/>
              <w:jc w:val="center"/>
              <w:outlineLvl w:val="0"/>
              <w:rPr>
                <w:kern w:val="0"/>
                <w:sz w:val="21"/>
                <w:szCs w:val="21"/>
              </w:rPr>
            </w:pPr>
            <w:r>
              <w:rPr>
                <w:rFonts w:hint="eastAsia"/>
                <w:kern w:val="0"/>
                <w:sz w:val="21"/>
                <w:szCs w:val="21"/>
              </w:rPr>
              <w:t>费用明细</w:t>
            </w:r>
          </w:p>
        </w:tc>
        <w:tc>
          <w:tcPr>
            <w:tcW w:w="5162" w:type="dxa"/>
          </w:tcPr>
          <w:p>
            <w:pPr>
              <w:spacing w:line="240" w:lineRule="atLeast"/>
              <w:outlineLvl w:val="0"/>
              <w:rPr>
                <w:kern w:val="0"/>
                <w:sz w:val="21"/>
                <w:szCs w:val="21"/>
              </w:rPr>
            </w:pPr>
            <w:r>
              <w:rPr>
                <w:rFonts w:hint="eastAsia"/>
                <w:kern w:val="0"/>
                <w:sz w:val="21"/>
                <w:szCs w:val="21"/>
              </w:rPr>
              <w:t>1.支持图表、列表两种形式，查看费用明细大类；2.支持排序；</w:t>
            </w:r>
          </w:p>
          <w:p>
            <w:pPr>
              <w:spacing w:line="240" w:lineRule="atLeast"/>
              <w:outlineLvl w:val="0"/>
              <w:rPr>
                <w:kern w:val="0"/>
                <w:sz w:val="21"/>
                <w:szCs w:val="21"/>
              </w:rPr>
            </w:pPr>
            <w:r>
              <w:rPr>
                <w:rFonts w:hint="eastAsia"/>
                <w:kern w:val="0"/>
                <w:sz w:val="21"/>
                <w:szCs w:val="21"/>
              </w:rPr>
              <w:t>3.支持查看费用明细项目详情；</w:t>
            </w:r>
          </w:p>
        </w:tc>
      </w:tr>
    </w:tbl>
    <w:p/>
    <w:p>
      <w:pPr>
        <w:pStyle w:val="4"/>
      </w:pPr>
      <w:r>
        <w:rPr>
          <w:rFonts w:hint="eastAsia"/>
        </w:rPr>
        <w:t>DRG医院智能管理系统功能表</w:t>
      </w:r>
    </w:p>
    <w:tbl>
      <w:tblPr>
        <w:tblStyle w:val="16"/>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29"/>
        <w:gridCol w:w="2145"/>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229" w:type="dxa"/>
            <w:shd w:val="clear" w:color="auto" w:fill="auto"/>
          </w:tcPr>
          <w:p>
            <w:pPr>
              <w:spacing w:line="240" w:lineRule="atLeast"/>
              <w:jc w:val="center"/>
              <w:outlineLvl w:val="0"/>
              <w:rPr>
                <w:kern w:val="0"/>
                <w:sz w:val="21"/>
                <w:szCs w:val="21"/>
              </w:rPr>
            </w:pPr>
            <w:r>
              <w:rPr>
                <w:rFonts w:hint="eastAsia"/>
                <w:kern w:val="0"/>
                <w:sz w:val="21"/>
                <w:szCs w:val="21"/>
              </w:rPr>
              <w:t>序号</w:t>
            </w:r>
          </w:p>
        </w:tc>
        <w:tc>
          <w:tcPr>
            <w:tcW w:w="1229" w:type="dxa"/>
            <w:shd w:val="clear" w:color="auto" w:fill="auto"/>
          </w:tcPr>
          <w:p>
            <w:pPr>
              <w:spacing w:line="240" w:lineRule="atLeast"/>
              <w:jc w:val="center"/>
              <w:outlineLvl w:val="0"/>
              <w:rPr>
                <w:kern w:val="0"/>
                <w:sz w:val="21"/>
                <w:szCs w:val="21"/>
              </w:rPr>
            </w:pPr>
            <w:r>
              <w:rPr>
                <w:rFonts w:hint="eastAsia"/>
                <w:kern w:val="0"/>
                <w:sz w:val="21"/>
                <w:szCs w:val="21"/>
              </w:rPr>
              <w:t>子系统</w:t>
            </w:r>
          </w:p>
        </w:tc>
        <w:tc>
          <w:tcPr>
            <w:tcW w:w="2145" w:type="dxa"/>
            <w:shd w:val="clear" w:color="auto" w:fill="auto"/>
          </w:tcPr>
          <w:p>
            <w:pPr>
              <w:spacing w:line="240" w:lineRule="atLeast"/>
              <w:jc w:val="center"/>
              <w:outlineLvl w:val="0"/>
              <w:rPr>
                <w:kern w:val="0"/>
                <w:sz w:val="21"/>
                <w:szCs w:val="21"/>
              </w:rPr>
            </w:pPr>
            <w:r>
              <w:rPr>
                <w:rFonts w:hint="eastAsia"/>
                <w:kern w:val="0"/>
                <w:sz w:val="21"/>
                <w:szCs w:val="21"/>
              </w:rPr>
              <w:t>功能模块</w:t>
            </w:r>
          </w:p>
        </w:tc>
        <w:tc>
          <w:tcPr>
            <w:tcW w:w="4329" w:type="dxa"/>
            <w:shd w:val="clear" w:color="auto" w:fill="auto"/>
          </w:tcPr>
          <w:p>
            <w:pPr>
              <w:spacing w:line="240" w:lineRule="atLeast"/>
              <w:jc w:val="center"/>
              <w:outlineLvl w:val="0"/>
              <w:rPr>
                <w:kern w:val="0"/>
                <w:sz w:val="21"/>
                <w:szCs w:val="21"/>
              </w:rPr>
            </w:pPr>
            <w:r>
              <w:rPr>
                <w:rFonts w:hint="eastAsia"/>
                <w:kern w:val="0"/>
                <w:sz w:val="21"/>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229" w:type="dxa"/>
            <w:vAlign w:val="center"/>
          </w:tcPr>
          <w:p>
            <w:pPr>
              <w:spacing w:line="240" w:lineRule="atLeast"/>
              <w:jc w:val="center"/>
              <w:outlineLvl w:val="0"/>
              <w:rPr>
                <w:kern w:val="0"/>
                <w:sz w:val="21"/>
                <w:szCs w:val="21"/>
              </w:rPr>
            </w:pPr>
            <w:r>
              <w:rPr>
                <w:rFonts w:hint="eastAsia"/>
                <w:kern w:val="0"/>
                <w:sz w:val="21"/>
                <w:szCs w:val="21"/>
              </w:rPr>
              <w:t>1</w:t>
            </w:r>
          </w:p>
        </w:tc>
        <w:tc>
          <w:tcPr>
            <w:tcW w:w="1229" w:type="dxa"/>
            <w:vAlign w:val="center"/>
          </w:tcPr>
          <w:p>
            <w:pPr>
              <w:spacing w:line="240" w:lineRule="atLeast"/>
              <w:jc w:val="center"/>
              <w:outlineLvl w:val="0"/>
              <w:rPr>
                <w:kern w:val="0"/>
                <w:sz w:val="21"/>
                <w:szCs w:val="21"/>
              </w:rPr>
            </w:pPr>
            <w:r>
              <w:rPr>
                <w:rFonts w:hint="eastAsia"/>
                <w:kern w:val="0"/>
                <w:sz w:val="21"/>
                <w:szCs w:val="21"/>
              </w:rPr>
              <w:t>首页</w:t>
            </w:r>
          </w:p>
        </w:tc>
        <w:tc>
          <w:tcPr>
            <w:tcW w:w="2145" w:type="dxa"/>
            <w:vAlign w:val="center"/>
          </w:tcPr>
          <w:p>
            <w:pPr>
              <w:spacing w:line="240" w:lineRule="atLeast"/>
              <w:jc w:val="center"/>
              <w:outlineLvl w:val="0"/>
              <w:rPr>
                <w:kern w:val="0"/>
              </w:rPr>
            </w:pPr>
            <w:r>
              <w:rPr>
                <w:rFonts w:hint="eastAsia"/>
                <w:kern w:val="0"/>
              </w:rPr>
              <w:t>入组情况</w:t>
            </w:r>
          </w:p>
          <w:p>
            <w:pPr>
              <w:spacing w:line="240" w:lineRule="atLeast"/>
              <w:jc w:val="center"/>
              <w:outlineLvl w:val="0"/>
              <w:rPr>
                <w:kern w:val="0"/>
              </w:rPr>
            </w:pPr>
            <w:r>
              <w:rPr>
                <w:rFonts w:hint="eastAsia"/>
                <w:kern w:val="0"/>
              </w:rPr>
              <w:t>结算差异分析</w:t>
            </w:r>
          </w:p>
          <w:p>
            <w:pPr>
              <w:spacing w:line="240" w:lineRule="atLeast"/>
              <w:jc w:val="center"/>
              <w:outlineLvl w:val="0"/>
              <w:rPr>
                <w:kern w:val="0"/>
              </w:rPr>
            </w:pPr>
            <w:r>
              <w:rPr>
                <w:rFonts w:hint="eastAsia"/>
                <w:kern w:val="0"/>
              </w:rPr>
              <w:t>监控预警</w:t>
            </w:r>
          </w:p>
          <w:p>
            <w:pPr>
              <w:spacing w:line="240" w:lineRule="atLeast"/>
              <w:jc w:val="center"/>
              <w:outlineLvl w:val="0"/>
              <w:rPr>
                <w:kern w:val="0"/>
              </w:rPr>
            </w:pPr>
            <w:r>
              <w:rPr>
                <w:rFonts w:hint="eastAsia"/>
                <w:kern w:val="0"/>
              </w:rPr>
              <w:t>行为规范</w:t>
            </w:r>
          </w:p>
          <w:p>
            <w:pPr>
              <w:spacing w:line="240" w:lineRule="atLeast"/>
              <w:jc w:val="center"/>
              <w:outlineLvl w:val="0"/>
              <w:rPr>
                <w:kern w:val="0"/>
              </w:rPr>
            </w:pPr>
            <w:r>
              <w:rPr>
                <w:rFonts w:hint="eastAsia"/>
                <w:kern w:val="0"/>
              </w:rPr>
              <w:t>病例类型占比分析</w:t>
            </w:r>
          </w:p>
          <w:p>
            <w:pPr>
              <w:spacing w:line="240" w:lineRule="atLeast"/>
              <w:jc w:val="center"/>
              <w:outlineLvl w:val="0"/>
              <w:rPr>
                <w:kern w:val="0"/>
              </w:rPr>
            </w:pPr>
            <w:r>
              <w:rPr>
                <w:rFonts w:hint="eastAsia"/>
                <w:kern w:val="0"/>
              </w:rPr>
              <w:t>指标统计</w:t>
            </w:r>
          </w:p>
          <w:p>
            <w:pPr>
              <w:spacing w:line="240" w:lineRule="atLeast"/>
              <w:jc w:val="center"/>
              <w:outlineLvl w:val="0"/>
              <w:rPr>
                <w:kern w:val="0"/>
              </w:rPr>
            </w:pPr>
            <w:r>
              <w:rPr>
                <w:rFonts w:hint="eastAsia"/>
                <w:kern w:val="0"/>
              </w:rPr>
              <w:t>超支结余top5</w:t>
            </w:r>
          </w:p>
          <w:p>
            <w:pPr>
              <w:pStyle w:val="12"/>
              <w:rPr>
                <w:kern w:val="0"/>
              </w:rPr>
            </w:pPr>
          </w:p>
        </w:tc>
        <w:tc>
          <w:tcPr>
            <w:tcW w:w="4329" w:type="dxa"/>
            <w:vAlign w:val="center"/>
          </w:tcPr>
          <w:p>
            <w:pPr>
              <w:spacing w:line="240" w:lineRule="atLeast"/>
              <w:outlineLvl w:val="0"/>
              <w:rPr>
                <w:kern w:val="0"/>
              </w:rPr>
            </w:pPr>
            <w:r>
              <w:rPr>
                <w:rFonts w:hint="eastAsia"/>
                <w:kern w:val="0"/>
              </w:rPr>
              <w:t>对系统各个子系统重点指标及维度进行综合展示，快速定位分组情况、结算差异、费用差异结构、监控预警、绩效评价及分配等关键指标。重点指标实时追踪及交互下钻。</w:t>
            </w:r>
          </w:p>
          <w:p>
            <w:pPr>
              <w:numPr>
                <w:ilvl w:val="0"/>
                <w:numId w:val="4"/>
              </w:numPr>
              <w:spacing w:line="240" w:lineRule="atLeast"/>
              <w:outlineLvl w:val="0"/>
              <w:rPr>
                <w:kern w:val="0"/>
              </w:rPr>
            </w:pPr>
            <w:r>
              <w:rPr>
                <w:rFonts w:hint="eastAsia"/>
                <w:kern w:val="0"/>
              </w:rPr>
              <w:t>可快速定位分组效能，查看入组率，直接定位未入组病例详情，支持下钻；</w:t>
            </w:r>
          </w:p>
          <w:p>
            <w:pPr>
              <w:numPr>
                <w:ilvl w:val="0"/>
                <w:numId w:val="4"/>
              </w:numPr>
              <w:spacing w:line="240" w:lineRule="atLeast"/>
              <w:outlineLvl w:val="0"/>
              <w:rPr>
                <w:kern w:val="0"/>
              </w:rPr>
            </w:pPr>
            <w:r>
              <w:rPr>
                <w:rFonts w:hint="eastAsia"/>
                <w:kern w:val="0"/>
              </w:rPr>
              <w:t>统计全院整体超支结余情况，从院区、专科、科室、病区多维度可视化展示其预估结算差异情况；</w:t>
            </w:r>
          </w:p>
          <w:p>
            <w:pPr>
              <w:numPr>
                <w:ilvl w:val="0"/>
                <w:numId w:val="4"/>
              </w:numPr>
              <w:spacing w:line="240" w:lineRule="atLeast"/>
              <w:outlineLvl w:val="0"/>
              <w:rPr>
                <w:kern w:val="0"/>
              </w:rPr>
            </w:pPr>
            <w:r>
              <w:rPr>
                <w:rFonts w:hint="eastAsia"/>
                <w:kern w:val="0"/>
              </w:rPr>
              <w:t>统计展示医院的ADRG、DRG、时间消耗指数、费用消耗指数、CMI、再入院率及指标的同比环比情况。</w:t>
            </w:r>
          </w:p>
          <w:p>
            <w:pPr>
              <w:numPr>
                <w:ilvl w:val="0"/>
                <w:numId w:val="4"/>
              </w:numPr>
              <w:spacing w:line="240" w:lineRule="atLeast"/>
              <w:outlineLvl w:val="0"/>
              <w:rPr>
                <w:kern w:val="0"/>
              </w:rPr>
            </w:pPr>
            <w:r>
              <w:rPr>
                <w:rFonts w:hint="eastAsia"/>
                <w:kern w:val="0"/>
              </w:rPr>
              <w:t>对医院体检住院、住院配药、分解住院、无治疗住院、超长住院等进行实时监控，可自定义配置指标。</w:t>
            </w:r>
          </w:p>
          <w:p>
            <w:pPr>
              <w:numPr>
                <w:ilvl w:val="0"/>
                <w:numId w:val="4"/>
              </w:numPr>
              <w:spacing w:line="240" w:lineRule="atLeast"/>
              <w:outlineLvl w:val="0"/>
              <w:rPr>
                <w:kern w:val="0"/>
              </w:rPr>
            </w:pPr>
            <w:r>
              <w:rPr>
                <w:rFonts w:hint="eastAsia"/>
                <w:kern w:val="0"/>
              </w:rPr>
              <w:t>支持查看不同病例类型的病例数分布，支持下钻；</w:t>
            </w:r>
          </w:p>
          <w:p>
            <w:pPr>
              <w:numPr>
                <w:ilvl w:val="0"/>
                <w:numId w:val="4"/>
              </w:numPr>
              <w:spacing w:line="240" w:lineRule="atLeast"/>
              <w:outlineLvl w:val="0"/>
              <w:rPr>
                <w:kern w:val="0"/>
              </w:rPr>
            </w:pPr>
            <w:r>
              <w:rPr>
                <w:kern w:val="0"/>
              </w:rPr>
              <w:t>统计全院整体超支结余情况，从院区、专科、科室、病区</w:t>
            </w:r>
            <w:r>
              <w:rPr>
                <w:rFonts w:hint="eastAsia"/>
                <w:kern w:val="0"/>
              </w:rPr>
              <w:t>、医师小组、责任医生</w:t>
            </w:r>
            <w:r>
              <w:rPr>
                <w:kern w:val="0"/>
              </w:rPr>
              <w:t>多维度可视化展示其预估结算差异情况；</w:t>
            </w:r>
          </w:p>
          <w:p>
            <w:pPr>
              <w:numPr>
                <w:ilvl w:val="0"/>
                <w:numId w:val="4"/>
              </w:numPr>
              <w:spacing w:line="240" w:lineRule="atLeast"/>
              <w:outlineLvl w:val="0"/>
              <w:rPr>
                <w:kern w:val="0"/>
              </w:rPr>
            </w:pPr>
            <w:r>
              <w:rPr>
                <w:rFonts w:hint="eastAsia"/>
                <w:kern w:val="0"/>
              </w:rPr>
              <w:t>展示超支、结余的院区/专科/科室/病区top5及其对应的预估结算差异；展示超支/结余病种top5及其对应的预估结算差异；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229" w:type="dxa"/>
            <w:vAlign w:val="center"/>
          </w:tcPr>
          <w:p>
            <w:pPr>
              <w:spacing w:line="240" w:lineRule="atLeast"/>
              <w:jc w:val="center"/>
              <w:outlineLvl w:val="0"/>
              <w:rPr>
                <w:kern w:val="0"/>
                <w:sz w:val="21"/>
                <w:szCs w:val="21"/>
              </w:rPr>
            </w:pPr>
            <w:r>
              <w:rPr>
                <w:rFonts w:hint="eastAsia"/>
                <w:kern w:val="0"/>
                <w:sz w:val="21"/>
                <w:szCs w:val="21"/>
              </w:rPr>
              <w:t>2</w:t>
            </w:r>
          </w:p>
        </w:tc>
        <w:tc>
          <w:tcPr>
            <w:tcW w:w="1229" w:type="dxa"/>
            <w:vAlign w:val="center"/>
          </w:tcPr>
          <w:p>
            <w:pPr>
              <w:spacing w:line="240" w:lineRule="atLeast"/>
              <w:jc w:val="center"/>
              <w:outlineLvl w:val="0"/>
              <w:rPr>
                <w:kern w:val="0"/>
                <w:sz w:val="21"/>
                <w:szCs w:val="21"/>
              </w:rPr>
            </w:pPr>
            <w:r>
              <w:rPr>
                <w:rFonts w:hint="eastAsia"/>
                <w:kern w:val="0"/>
                <w:sz w:val="21"/>
                <w:szCs w:val="21"/>
              </w:rPr>
              <w:t>病例管理</w:t>
            </w:r>
          </w:p>
        </w:tc>
        <w:tc>
          <w:tcPr>
            <w:tcW w:w="2145" w:type="dxa"/>
            <w:vAlign w:val="center"/>
          </w:tcPr>
          <w:p>
            <w:pPr>
              <w:spacing w:line="240" w:lineRule="atLeast"/>
              <w:jc w:val="center"/>
              <w:outlineLvl w:val="0"/>
              <w:rPr>
                <w:kern w:val="0"/>
                <w:sz w:val="21"/>
                <w:szCs w:val="21"/>
              </w:rPr>
            </w:pPr>
            <w:r>
              <w:rPr>
                <w:rFonts w:hint="eastAsia"/>
                <w:kern w:val="0"/>
                <w:sz w:val="21"/>
                <w:szCs w:val="21"/>
              </w:rPr>
              <w:t>病例查询</w:t>
            </w:r>
          </w:p>
        </w:tc>
        <w:tc>
          <w:tcPr>
            <w:tcW w:w="4329" w:type="dxa"/>
            <w:vAlign w:val="center"/>
          </w:tcPr>
          <w:p>
            <w:pPr>
              <w:spacing w:line="240" w:lineRule="atLeast"/>
              <w:outlineLvl w:val="0"/>
              <w:rPr>
                <w:kern w:val="0"/>
                <w:sz w:val="21"/>
                <w:szCs w:val="21"/>
              </w:rPr>
            </w:pPr>
            <w:r>
              <w:rPr>
                <w:rFonts w:hint="eastAsia"/>
                <w:kern w:val="0"/>
                <w:sz w:val="21"/>
                <w:szCs w:val="21"/>
              </w:rPr>
              <w:t>根据全院及科室账号权限，实现病例在住院状态、院区、专科、科室、病区、主诊组、责任医生下的差异分析，定位差异主因、对病例类型、总费用、住院天数、预估结算差额、差异比例等进行单项或综合查询，指标展示可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229" w:type="dxa"/>
            <w:vMerge w:val="restart"/>
            <w:vAlign w:val="center"/>
          </w:tcPr>
          <w:p>
            <w:pPr>
              <w:spacing w:line="240" w:lineRule="atLeast"/>
              <w:jc w:val="center"/>
              <w:outlineLvl w:val="0"/>
              <w:rPr>
                <w:kern w:val="0"/>
                <w:sz w:val="21"/>
                <w:szCs w:val="21"/>
              </w:rPr>
            </w:pPr>
            <w:r>
              <w:rPr>
                <w:rFonts w:hint="eastAsia"/>
                <w:kern w:val="0"/>
                <w:sz w:val="21"/>
                <w:szCs w:val="21"/>
              </w:rPr>
              <w:t>3</w:t>
            </w:r>
          </w:p>
        </w:tc>
        <w:tc>
          <w:tcPr>
            <w:tcW w:w="1229" w:type="dxa"/>
            <w:vMerge w:val="restart"/>
            <w:vAlign w:val="center"/>
          </w:tcPr>
          <w:p>
            <w:pPr>
              <w:spacing w:line="240" w:lineRule="atLeast"/>
              <w:jc w:val="center"/>
              <w:outlineLvl w:val="0"/>
              <w:rPr>
                <w:kern w:val="0"/>
                <w:sz w:val="21"/>
                <w:szCs w:val="21"/>
              </w:rPr>
            </w:pPr>
            <w:r>
              <w:rPr>
                <w:rFonts w:hint="eastAsia"/>
                <w:kern w:val="0"/>
                <w:sz w:val="21"/>
                <w:szCs w:val="21"/>
              </w:rPr>
              <w:t>差异分析</w:t>
            </w:r>
          </w:p>
        </w:tc>
        <w:tc>
          <w:tcPr>
            <w:tcW w:w="2145" w:type="dxa"/>
            <w:vAlign w:val="center"/>
          </w:tcPr>
          <w:p>
            <w:pPr>
              <w:spacing w:line="240" w:lineRule="atLeast"/>
              <w:jc w:val="center"/>
              <w:outlineLvl w:val="0"/>
              <w:rPr>
                <w:kern w:val="0"/>
                <w:sz w:val="21"/>
                <w:szCs w:val="21"/>
              </w:rPr>
            </w:pPr>
            <w:r>
              <w:rPr>
                <w:rFonts w:hint="eastAsia"/>
                <w:kern w:val="0"/>
                <w:sz w:val="21"/>
                <w:szCs w:val="21"/>
              </w:rPr>
              <w:t>差异汇总-总体汇总</w:t>
            </w:r>
          </w:p>
        </w:tc>
        <w:tc>
          <w:tcPr>
            <w:tcW w:w="4329" w:type="dxa"/>
            <w:vAlign w:val="center"/>
          </w:tcPr>
          <w:p>
            <w:pPr>
              <w:spacing w:line="240" w:lineRule="atLeast"/>
              <w:outlineLvl w:val="0"/>
              <w:rPr>
                <w:kern w:val="0"/>
                <w:sz w:val="21"/>
                <w:szCs w:val="21"/>
              </w:rPr>
            </w:pPr>
            <w:r>
              <w:rPr>
                <w:rFonts w:hint="eastAsia"/>
                <w:kern w:val="0"/>
                <w:sz w:val="21"/>
                <w:szCs w:val="21"/>
              </w:rPr>
              <w:t>根据数据口径进行联动筛选，对全院、院区、专科、科室、病区、医师小组、医生、病组等维度的超支结余分析。重点指标实时追踪及交互下钻。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差异汇总-医院院区</w:t>
            </w:r>
          </w:p>
        </w:tc>
        <w:tc>
          <w:tcPr>
            <w:tcW w:w="4329" w:type="dxa"/>
            <w:vAlign w:val="center"/>
          </w:tcPr>
          <w:p>
            <w:pPr>
              <w:spacing w:line="240" w:lineRule="atLeast"/>
              <w:outlineLvl w:val="0"/>
              <w:rPr>
                <w:kern w:val="0"/>
                <w:sz w:val="21"/>
                <w:szCs w:val="21"/>
              </w:rPr>
            </w:pPr>
            <w:r>
              <w:rPr>
                <w:rFonts w:hint="eastAsia"/>
                <w:kern w:val="0"/>
                <w:sz w:val="21"/>
                <w:szCs w:val="21"/>
              </w:rPr>
              <w:t>院区差异排名、时间序列趋势分析、科室结余超支、科室服务能力、科室服务质量分析。各科室下的病例下钻挖掘。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差异汇总-医院专科</w:t>
            </w:r>
          </w:p>
        </w:tc>
        <w:tc>
          <w:tcPr>
            <w:tcW w:w="4329" w:type="dxa"/>
            <w:vAlign w:val="center"/>
          </w:tcPr>
          <w:p>
            <w:pPr>
              <w:spacing w:line="240" w:lineRule="atLeast"/>
              <w:outlineLvl w:val="0"/>
              <w:rPr>
                <w:kern w:val="0"/>
                <w:sz w:val="21"/>
                <w:szCs w:val="21"/>
              </w:rPr>
            </w:pPr>
            <w:r>
              <w:rPr>
                <w:rFonts w:hint="eastAsia"/>
                <w:kern w:val="0"/>
                <w:sz w:val="21"/>
                <w:szCs w:val="21"/>
              </w:rPr>
              <w:t>专科差异排名、时间序列趋势分析、科室结余超支、科室服务能力、科室服务质量分析。各科室下的病例下钻挖掘。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差异汇总-医院科室</w:t>
            </w:r>
          </w:p>
        </w:tc>
        <w:tc>
          <w:tcPr>
            <w:tcW w:w="4329" w:type="dxa"/>
            <w:vAlign w:val="center"/>
          </w:tcPr>
          <w:p>
            <w:pPr>
              <w:spacing w:line="240" w:lineRule="atLeast"/>
              <w:outlineLvl w:val="0"/>
              <w:rPr>
                <w:kern w:val="0"/>
                <w:sz w:val="21"/>
                <w:szCs w:val="21"/>
              </w:rPr>
            </w:pPr>
            <w:r>
              <w:rPr>
                <w:rFonts w:hint="eastAsia"/>
                <w:kern w:val="0"/>
                <w:sz w:val="21"/>
                <w:szCs w:val="21"/>
              </w:rPr>
              <w:t>科室差异排名、时间序列趋势分析、科室结余超支、科室服务能力、科室服务质量分析。各科室下的病例下钻挖掘。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差异汇总-医院病区</w:t>
            </w:r>
          </w:p>
        </w:tc>
        <w:tc>
          <w:tcPr>
            <w:tcW w:w="4329" w:type="dxa"/>
            <w:vAlign w:val="center"/>
          </w:tcPr>
          <w:p>
            <w:pPr>
              <w:spacing w:line="240" w:lineRule="atLeast"/>
              <w:outlineLvl w:val="0"/>
              <w:rPr>
                <w:kern w:val="0"/>
                <w:sz w:val="21"/>
                <w:szCs w:val="21"/>
              </w:rPr>
            </w:pPr>
            <w:r>
              <w:rPr>
                <w:rFonts w:hint="eastAsia"/>
                <w:kern w:val="0"/>
                <w:sz w:val="21"/>
                <w:szCs w:val="21"/>
              </w:rPr>
              <w:t>病区差异排名、时间序列趋势分析、病区结余超支、病区服务能力、病区服务质量分析。各病区下的病例下钻挖掘。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差异汇总-医师小组</w:t>
            </w:r>
          </w:p>
        </w:tc>
        <w:tc>
          <w:tcPr>
            <w:tcW w:w="4329" w:type="dxa"/>
            <w:vAlign w:val="center"/>
          </w:tcPr>
          <w:p>
            <w:pPr>
              <w:spacing w:line="240" w:lineRule="atLeast"/>
              <w:outlineLvl w:val="0"/>
              <w:rPr>
                <w:kern w:val="0"/>
                <w:sz w:val="21"/>
                <w:szCs w:val="21"/>
              </w:rPr>
            </w:pPr>
            <w:r>
              <w:rPr>
                <w:rFonts w:hint="eastAsia"/>
                <w:kern w:val="0"/>
                <w:sz w:val="21"/>
                <w:szCs w:val="21"/>
              </w:rPr>
              <w:t>展示各医师小组下的时间序列结算差异及比例，各小组下的病例下钻挖掘。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差异汇总-责任医生</w:t>
            </w:r>
          </w:p>
        </w:tc>
        <w:tc>
          <w:tcPr>
            <w:tcW w:w="4329" w:type="dxa"/>
            <w:vAlign w:val="center"/>
          </w:tcPr>
          <w:p>
            <w:pPr>
              <w:spacing w:line="240" w:lineRule="atLeast"/>
              <w:outlineLvl w:val="0"/>
              <w:rPr>
                <w:kern w:val="0"/>
                <w:sz w:val="21"/>
                <w:szCs w:val="21"/>
              </w:rPr>
            </w:pPr>
            <w:r>
              <w:rPr>
                <w:rFonts w:hint="eastAsia"/>
                <w:kern w:val="0"/>
                <w:sz w:val="21"/>
                <w:szCs w:val="21"/>
              </w:rPr>
              <w:t>展示各责任医生下的时间序列结算差异及比例，各责任医生下的病例下钻挖掘。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差异汇总-病例类型</w:t>
            </w:r>
          </w:p>
        </w:tc>
        <w:tc>
          <w:tcPr>
            <w:tcW w:w="4329" w:type="dxa"/>
            <w:vAlign w:val="center"/>
          </w:tcPr>
          <w:p>
            <w:pPr>
              <w:spacing w:line="240" w:lineRule="atLeast"/>
              <w:outlineLvl w:val="0"/>
              <w:rPr>
                <w:kern w:val="0"/>
                <w:sz w:val="21"/>
                <w:szCs w:val="21"/>
              </w:rPr>
            </w:pPr>
            <w:r>
              <w:rPr>
                <w:rFonts w:hint="eastAsia"/>
                <w:kern w:val="0"/>
                <w:sz w:val="21"/>
                <w:szCs w:val="21"/>
              </w:rPr>
              <w:t>高低倍率的病例数和占比的趋势、各类病例的差异贡献度分析、不同倍率区间的病例数占比发展情况。重点指标实时追踪及交互下钻。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病组分析-病组查询</w:t>
            </w:r>
          </w:p>
        </w:tc>
        <w:tc>
          <w:tcPr>
            <w:tcW w:w="4329" w:type="dxa"/>
            <w:vAlign w:val="center"/>
          </w:tcPr>
          <w:p>
            <w:pPr>
              <w:spacing w:line="240" w:lineRule="atLeast"/>
              <w:outlineLvl w:val="0"/>
              <w:rPr>
                <w:kern w:val="0"/>
                <w:sz w:val="21"/>
                <w:szCs w:val="21"/>
              </w:rPr>
            </w:pPr>
            <w:r>
              <w:rPr>
                <w:rFonts w:hint="eastAsia"/>
                <w:kern w:val="0"/>
                <w:sz w:val="21"/>
                <w:szCs w:val="21"/>
              </w:rPr>
              <w:t>病组维度超支结余与DRG重点指标统计分析，重点指标实时追踪及交互下钻。针对识别出的重点病组进行明细信息挖掘，与医院个性化病组费用结构标杆值进行对比，分析差异主因，快速有效定位合理控费关键。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病组分析-综合查询</w:t>
            </w:r>
          </w:p>
        </w:tc>
        <w:tc>
          <w:tcPr>
            <w:tcW w:w="4329" w:type="dxa"/>
            <w:vAlign w:val="center"/>
          </w:tcPr>
          <w:p>
            <w:pPr>
              <w:spacing w:line="240" w:lineRule="atLeast"/>
              <w:outlineLvl w:val="0"/>
              <w:rPr>
                <w:kern w:val="0"/>
                <w:sz w:val="21"/>
                <w:szCs w:val="21"/>
              </w:rPr>
            </w:pPr>
            <w:r>
              <w:rPr>
                <w:rFonts w:hint="eastAsia"/>
                <w:kern w:val="0"/>
                <w:sz w:val="21"/>
                <w:szCs w:val="21"/>
              </w:rPr>
              <w:t>病组-院区、病组-专科、病组-科室、病组-病区、病组-医师小组、病组-医生维度超支结余与DRG重点指标统计分析，重点指标实时追踪及交互下钻。针对识别出的重点病组进行明细信息挖掘，与医院个性化病组费用结构标杆值进行对比，分析差异主因，快速有效定位合理控费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病组</w:t>
            </w:r>
            <w:r>
              <w:rPr>
                <w:rFonts w:hint="eastAsia"/>
                <w:kern w:val="0"/>
                <w:sz w:val="21"/>
                <w:szCs w:val="21"/>
                <w:lang w:eastAsia="zh-Hans"/>
              </w:rPr>
              <w:t>对比</w:t>
            </w:r>
            <w:r>
              <w:rPr>
                <w:rFonts w:hint="eastAsia"/>
                <w:kern w:val="0"/>
                <w:sz w:val="21"/>
                <w:szCs w:val="21"/>
              </w:rPr>
              <w:t>分析</w:t>
            </w:r>
          </w:p>
        </w:tc>
        <w:tc>
          <w:tcPr>
            <w:tcW w:w="4329" w:type="dxa"/>
            <w:vAlign w:val="center"/>
          </w:tcPr>
          <w:p>
            <w:pPr>
              <w:spacing w:line="240" w:lineRule="atLeast"/>
              <w:outlineLvl w:val="0"/>
              <w:rPr>
                <w:kern w:val="0"/>
                <w:sz w:val="21"/>
                <w:szCs w:val="21"/>
              </w:rPr>
            </w:pPr>
            <w:r>
              <w:rPr>
                <w:rFonts w:hint="eastAsia"/>
                <w:kern w:val="0"/>
                <w:sz w:val="21"/>
                <w:szCs w:val="21"/>
              </w:rPr>
              <w:t>筛选单个病组在科室、病区、医师小组、责任医生维度下病例类型对比、差异统计与分析。各维度支持横向与时间维度的对比。重点指标实时追踪及交互下钻。针对识别出的重点病组进行明细信息挖掘，与医院个性化病组费用结构标杆值进行对比，分析差异主因，快速有效定位合理控费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29" w:type="dxa"/>
            <w:vMerge w:val="restart"/>
            <w:vAlign w:val="center"/>
          </w:tcPr>
          <w:p>
            <w:pPr>
              <w:spacing w:line="240" w:lineRule="atLeast"/>
              <w:jc w:val="center"/>
              <w:outlineLvl w:val="0"/>
              <w:rPr>
                <w:kern w:val="0"/>
                <w:sz w:val="21"/>
                <w:szCs w:val="21"/>
              </w:rPr>
            </w:pPr>
            <w:r>
              <w:rPr>
                <w:rFonts w:hint="eastAsia"/>
                <w:kern w:val="0"/>
                <w:sz w:val="21"/>
                <w:szCs w:val="21"/>
              </w:rPr>
              <w:t>4</w:t>
            </w:r>
          </w:p>
        </w:tc>
        <w:tc>
          <w:tcPr>
            <w:tcW w:w="1229" w:type="dxa"/>
            <w:vMerge w:val="restart"/>
            <w:vAlign w:val="center"/>
          </w:tcPr>
          <w:p>
            <w:pPr>
              <w:spacing w:line="240" w:lineRule="atLeast"/>
              <w:jc w:val="center"/>
              <w:outlineLvl w:val="0"/>
              <w:rPr>
                <w:kern w:val="0"/>
                <w:sz w:val="21"/>
                <w:szCs w:val="21"/>
              </w:rPr>
            </w:pPr>
            <w:r>
              <w:rPr>
                <w:rFonts w:hint="eastAsia"/>
                <w:kern w:val="0"/>
                <w:sz w:val="21"/>
                <w:szCs w:val="21"/>
              </w:rPr>
              <w:t>监控预警</w:t>
            </w:r>
          </w:p>
        </w:tc>
        <w:tc>
          <w:tcPr>
            <w:tcW w:w="2145" w:type="dxa"/>
            <w:vAlign w:val="center"/>
          </w:tcPr>
          <w:p>
            <w:pPr>
              <w:spacing w:line="240" w:lineRule="atLeast"/>
              <w:jc w:val="center"/>
              <w:outlineLvl w:val="0"/>
              <w:rPr>
                <w:kern w:val="0"/>
                <w:sz w:val="21"/>
                <w:szCs w:val="21"/>
              </w:rPr>
            </w:pPr>
            <w:r>
              <w:rPr>
                <w:rFonts w:hint="eastAsia"/>
                <w:kern w:val="0"/>
                <w:sz w:val="21"/>
                <w:szCs w:val="21"/>
              </w:rPr>
              <w:t>分组结果监控</w:t>
            </w:r>
          </w:p>
        </w:tc>
        <w:tc>
          <w:tcPr>
            <w:tcW w:w="4329" w:type="dxa"/>
            <w:vAlign w:val="center"/>
          </w:tcPr>
          <w:p>
            <w:pPr>
              <w:spacing w:line="240" w:lineRule="atLeast"/>
              <w:outlineLvl w:val="0"/>
              <w:rPr>
                <w:kern w:val="0"/>
                <w:sz w:val="21"/>
                <w:szCs w:val="21"/>
              </w:rPr>
            </w:pPr>
            <w:r>
              <w:rPr>
                <w:rFonts w:hint="eastAsia"/>
                <w:kern w:val="0"/>
                <w:sz w:val="21"/>
                <w:szCs w:val="21"/>
              </w:rPr>
              <w:t>对在院、出院病例进行监控，可视化展示纳入分组病例病例数量、入组数量及比例，展示个科室及病区的内科组、外科手术组、非手术操作组的病例数量及比例。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29" w:type="dxa"/>
            <w:vMerge w:val="continue"/>
            <w:vAlign w:val="center"/>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病案填报预警</w:t>
            </w:r>
          </w:p>
        </w:tc>
        <w:tc>
          <w:tcPr>
            <w:tcW w:w="4329" w:type="dxa"/>
            <w:vAlign w:val="center"/>
          </w:tcPr>
          <w:p>
            <w:pPr>
              <w:spacing w:line="240" w:lineRule="atLeast"/>
              <w:outlineLvl w:val="0"/>
              <w:rPr>
                <w:kern w:val="0"/>
                <w:sz w:val="21"/>
                <w:szCs w:val="21"/>
              </w:rPr>
            </w:pPr>
            <w:r>
              <w:rPr>
                <w:rFonts w:hint="eastAsia"/>
                <w:kern w:val="0"/>
                <w:sz w:val="21"/>
                <w:szCs w:val="21"/>
              </w:rPr>
              <w:t>针对病案手术漏传、手术未入手术组、平均诊断个数、手术占比情况实时汇总分析。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29" w:type="dxa"/>
            <w:vMerge w:val="continue"/>
            <w:vAlign w:val="center"/>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费用结构监控</w:t>
            </w:r>
          </w:p>
        </w:tc>
        <w:tc>
          <w:tcPr>
            <w:tcW w:w="4329" w:type="dxa"/>
            <w:vAlign w:val="center"/>
          </w:tcPr>
          <w:p>
            <w:pPr>
              <w:spacing w:line="240" w:lineRule="atLeast"/>
              <w:outlineLvl w:val="0"/>
              <w:rPr>
                <w:kern w:val="0"/>
                <w:sz w:val="21"/>
                <w:szCs w:val="21"/>
              </w:rPr>
            </w:pPr>
            <w:r>
              <w:rPr>
                <w:rFonts w:hint="eastAsia"/>
                <w:kern w:val="0"/>
                <w:sz w:val="21"/>
                <w:szCs w:val="21"/>
              </w:rPr>
              <w:t>对全院病例的费用结构进行汇总分析对比。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29" w:type="dxa"/>
            <w:vMerge w:val="continue"/>
            <w:vAlign w:val="center"/>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重点指标监控</w:t>
            </w:r>
          </w:p>
        </w:tc>
        <w:tc>
          <w:tcPr>
            <w:tcW w:w="4329" w:type="dxa"/>
            <w:vAlign w:val="center"/>
          </w:tcPr>
          <w:p>
            <w:pPr>
              <w:spacing w:line="240" w:lineRule="atLeast"/>
              <w:outlineLvl w:val="0"/>
              <w:rPr>
                <w:kern w:val="0"/>
                <w:sz w:val="21"/>
                <w:szCs w:val="21"/>
              </w:rPr>
            </w:pPr>
            <w:r>
              <w:rPr>
                <w:rFonts w:hint="eastAsia"/>
                <w:kern w:val="0"/>
                <w:sz w:val="21"/>
                <w:szCs w:val="21"/>
              </w:rPr>
              <w:t>对总体病例覆盖广度ADRG组数、DRG组数、CMI、低风险死亡率、时间消耗指数、费用消耗指数、再入院率、人头人次比进行统计分析。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29" w:type="dxa"/>
            <w:vMerge w:val="continue"/>
            <w:vAlign w:val="center"/>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患者负担监控</w:t>
            </w:r>
          </w:p>
        </w:tc>
        <w:tc>
          <w:tcPr>
            <w:tcW w:w="4329" w:type="dxa"/>
            <w:vAlign w:val="center"/>
          </w:tcPr>
          <w:p>
            <w:pPr>
              <w:spacing w:line="240" w:lineRule="atLeast"/>
              <w:outlineLvl w:val="0"/>
              <w:rPr>
                <w:kern w:val="0"/>
                <w:sz w:val="21"/>
                <w:szCs w:val="21"/>
              </w:rPr>
            </w:pPr>
            <w:r>
              <w:rPr>
                <w:rFonts w:hint="eastAsia"/>
                <w:kern w:val="0"/>
                <w:sz w:val="21"/>
                <w:szCs w:val="21"/>
              </w:rPr>
              <w:t>对患者自付及患者自费进行实时监控。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229" w:type="dxa"/>
            <w:vMerge w:val="continue"/>
            <w:vAlign w:val="center"/>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行为规范预警</w:t>
            </w:r>
          </w:p>
        </w:tc>
        <w:tc>
          <w:tcPr>
            <w:tcW w:w="4329" w:type="dxa"/>
            <w:vAlign w:val="center"/>
          </w:tcPr>
          <w:p>
            <w:pPr>
              <w:spacing w:line="240" w:lineRule="atLeast"/>
              <w:outlineLvl w:val="0"/>
              <w:rPr>
                <w:kern w:val="0"/>
                <w:sz w:val="21"/>
                <w:szCs w:val="21"/>
              </w:rPr>
            </w:pPr>
            <w:r>
              <w:rPr>
                <w:rFonts w:hint="eastAsia"/>
                <w:kern w:val="0"/>
              </w:rPr>
              <w:t>医院体检住院、住院配药、分解住院、无治疗住院、超长住院等进行实时监控，可自定义配置指标。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29" w:type="dxa"/>
            <w:vMerge w:val="continue"/>
            <w:vAlign w:val="center"/>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MDC挖掘监控</w:t>
            </w:r>
          </w:p>
        </w:tc>
        <w:tc>
          <w:tcPr>
            <w:tcW w:w="4329" w:type="dxa"/>
            <w:vAlign w:val="center"/>
          </w:tcPr>
          <w:p>
            <w:pPr>
              <w:spacing w:line="240" w:lineRule="atLeast"/>
              <w:outlineLvl w:val="0"/>
              <w:rPr>
                <w:kern w:val="0"/>
                <w:sz w:val="21"/>
                <w:szCs w:val="21"/>
              </w:rPr>
            </w:pPr>
            <w:r>
              <w:rPr>
                <w:rFonts w:hint="eastAsia"/>
                <w:kern w:val="0"/>
                <w:sz w:val="21"/>
                <w:szCs w:val="21"/>
              </w:rPr>
              <w:t>对各MDC组的病例占比、重点病组占比指标进行监控对比。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29" w:type="dxa"/>
            <w:vMerge w:val="continue"/>
            <w:vAlign w:val="center"/>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在院数据监控</w:t>
            </w:r>
          </w:p>
        </w:tc>
        <w:tc>
          <w:tcPr>
            <w:tcW w:w="4329" w:type="dxa"/>
            <w:vAlign w:val="center"/>
          </w:tcPr>
          <w:p>
            <w:pPr>
              <w:spacing w:line="240" w:lineRule="atLeast"/>
              <w:outlineLvl w:val="0"/>
              <w:rPr>
                <w:kern w:val="0"/>
                <w:sz w:val="21"/>
                <w:szCs w:val="21"/>
              </w:rPr>
            </w:pPr>
            <w:r>
              <w:rPr>
                <w:rFonts w:hint="eastAsia"/>
                <w:kern w:val="0"/>
                <w:sz w:val="21"/>
                <w:szCs w:val="21"/>
              </w:rPr>
              <w:t>针对不同科室的预分组系统的使用情况进行监控，同时展示院内不同病例的占比。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229" w:type="dxa"/>
            <w:vMerge w:val="restart"/>
            <w:vAlign w:val="center"/>
          </w:tcPr>
          <w:p>
            <w:pPr>
              <w:spacing w:line="240" w:lineRule="atLeast"/>
              <w:jc w:val="center"/>
              <w:outlineLvl w:val="0"/>
              <w:rPr>
                <w:kern w:val="0"/>
                <w:sz w:val="21"/>
                <w:szCs w:val="21"/>
              </w:rPr>
            </w:pPr>
            <w:r>
              <w:rPr>
                <w:rFonts w:hint="eastAsia"/>
                <w:kern w:val="0"/>
                <w:sz w:val="21"/>
                <w:szCs w:val="21"/>
              </w:rPr>
              <w:t>5</w:t>
            </w:r>
          </w:p>
        </w:tc>
        <w:tc>
          <w:tcPr>
            <w:tcW w:w="1229" w:type="dxa"/>
            <w:vMerge w:val="restart"/>
            <w:vAlign w:val="center"/>
          </w:tcPr>
          <w:p>
            <w:pPr>
              <w:spacing w:line="240" w:lineRule="atLeast"/>
              <w:jc w:val="center"/>
              <w:outlineLvl w:val="0"/>
              <w:rPr>
                <w:kern w:val="0"/>
                <w:sz w:val="21"/>
                <w:szCs w:val="21"/>
              </w:rPr>
            </w:pPr>
            <w:r>
              <w:rPr>
                <w:rFonts w:hint="eastAsia"/>
                <w:kern w:val="0"/>
                <w:sz w:val="21"/>
                <w:szCs w:val="21"/>
              </w:rPr>
              <w:t>服务绩效</w:t>
            </w:r>
          </w:p>
        </w:tc>
        <w:tc>
          <w:tcPr>
            <w:tcW w:w="2145" w:type="dxa"/>
            <w:vAlign w:val="center"/>
          </w:tcPr>
          <w:p>
            <w:pPr>
              <w:spacing w:line="240" w:lineRule="atLeast"/>
              <w:jc w:val="center"/>
              <w:outlineLvl w:val="0"/>
              <w:rPr>
                <w:kern w:val="0"/>
                <w:sz w:val="21"/>
                <w:szCs w:val="21"/>
                <w:lang w:eastAsia="zh-Hans"/>
              </w:rPr>
            </w:pPr>
            <w:r>
              <w:rPr>
                <w:rFonts w:hint="eastAsia"/>
                <w:kern w:val="0"/>
                <w:sz w:val="21"/>
                <w:szCs w:val="21"/>
              </w:rPr>
              <w:t>医院总体绩效</w:t>
            </w:r>
            <w:r>
              <w:rPr>
                <w:rFonts w:hint="eastAsia"/>
                <w:kern w:val="0"/>
                <w:sz w:val="21"/>
                <w:szCs w:val="21"/>
                <w:lang w:eastAsia="zh-Hans"/>
              </w:rPr>
              <w:t>评价</w:t>
            </w:r>
          </w:p>
        </w:tc>
        <w:tc>
          <w:tcPr>
            <w:tcW w:w="4329" w:type="dxa"/>
          </w:tcPr>
          <w:p>
            <w:pPr>
              <w:spacing w:line="240" w:lineRule="atLeast"/>
              <w:outlineLvl w:val="0"/>
              <w:rPr>
                <w:kern w:val="0"/>
                <w:sz w:val="21"/>
                <w:szCs w:val="21"/>
              </w:rPr>
            </w:pPr>
            <w:r>
              <w:rPr>
                <w:rFonts w:hint="eastAsia"/>
                <w:kern w:val="0"/>
                <w:sz w:val="21"/>
                <w:szCs w:val="21"/>
              </w:rPr>
              <w:t>对医院各月份、总体服务能力评价、服务效率评价、服务质量维度，进行时间序列趋势分析。通过历史数据的分析，为医院在绩效管理方面提供院内决策依据和绩效分配导向，推动医院服务绩效考核管理评价及绩效分配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医院院区绩效评价</w:t>
            </w:r>
          </w:p>
        </w:tc>
        <w:tc>
          <w:tcPr>
            <w:tcW w:w="4329" w:type="dxa"/>
          </w:tcPr>
          <w:p>
            <w:pPr>
              <w:spacing w:line="240" w:lineRule="atLeast"/>
              <w:outlineLvl w:val="0"/>
              <w:rPr>
                <w:kern w:val="0"/>
                <w:sz w:val="21"/>
                <w:szCs w:val="21"/>
              </w:rPr>
            </w:pPr>
            <w:r>
              <w:rPr>
                <w:rFonts w:hint="eastAsia"/>
                <w:kern w:val="0"/>
                <w:sz w:val="21"/>
                <w:szCs w:val="21"/>
              </w:rPr>
              <w:t>对各院区、院区各月份进行服务能力评价、服务效率评价、服务质量评价。支持自定义服务能力评价象限图。包含且不限于CMI、时间消耗指数、费用消耗指数、低风险组死亡率，再入院率等指标。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医院专科绩效评价</w:t>
            </w:r>
          </w:p>
        </w:tc>
        <w:tc>
          <w:tcPr>
            <w:tcW w:w="4329" w:type="dxa"/>
          </w:tcPr>
          <w:p>
            <w:pPr>
              <w:spacing w:line="240" w:lineRule="atLeast"/>
              <w:outlineLvl w:val="0"/>
              <w:rPr>
                <w:kern w:val="0"/>
                <w:sz w:val="21"/>
                <w:szCs w:val="21"/>
              </w:rPr>
            </w:pPr>
            <w:r>
              <w:rPr>
                <w:rFonts w:hint="eastAsia"/>
                <w:kern w:val="0"/>
                <w:sz w:val="21"/>
                <w:szCs w:val="21"/>
              </w:rPr>
              <w:t>对各专科、专科各月份进行服务能力评价、服务效率评价、服务质量评价。支持自定义服务能力评价象限图。包含且不限于CMI、时间消耗指数、费用消耗指数、低风险组死亡率，再入院率等指标。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医院科室绩效评价</w:t>
            </w:r>
          </w:p>
        </w:tc>
        <w:tc>
          <w:tcPr>
            <w:tcW w:w="4329" w:type="dxa"/>
          </w:tcPr>
          <w:p>
            <w:pPr>
              <w:spacing w:line="240" w:lineRule="atLeast"/>
              <w:outlineLvl w:val="0"/>
              <w:rPr>
                <w:kern w:val="0"/>
                <w:sz w:val="21"/>
                <w:szCs w:val="21"/>
              </w:rPr>
            </w:pPr>
            <w:r>
              <w:rPr>
                <w:rFonts w:hint="eastAsia"/>
                <w:kern w:val="0"/>
                <w:sz w:val="21"/>
                <w:szCs w:val="21"/>
              </w:rPr>
              <w:t>对各科室、科室各月份进行服务能力评价、服务效率评价、服务质量评价。支持自定义服务能力评价象限图。包含且不限于CMI、时间消耗指数、费用消耗指数、低风险组死亡率，再入院率等指标。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医院病区绩效评价</w:t>
            </w:r>
          </w:p>
        </w:tc>
        <w:tc>
          <w:tcPr>
            <w:tcW w:w="4329" w:type="dxa"/>
          </w:tcPr>
          <w:p>
            <w:pPr>
              <w:spacing w:line="240" w:lineRule="atLeast"/>
              <w:outlineLvl w:val="0"/>
              <w:rPr>
                <w:kern w:val="0"/>
                <w:sz w:val="21"/>
                <w:szCs w:val="21"/>
              </w:rPr>
            </w:pPr>
            <w:r>
              <w:rPr>
                <w:rFonts w:hint="eastAsia"/>
                <w:kern w:val="0"/>
                <w:sz w:val="21"/>
                <w:szCs w:val="21"/>
              </w:rPr>
              <w:t>对各病区、病区各月份进行服务能力评价、服务效率评价、服务质量评价。支持自定义服务能力评价象限图。包含且不限于CMI、时间消耗指数、费用消耗指数、低风险组死亡率，再入院率等指标。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医师小组绩效评价</w:t>
            </w:r>
          </w:p>
        </w:tc>
        <w:tc>
          <w:tcPr>
            <w:tcW w:w="4329" w:type="dxa"/>
          </w:tcPr>
          <w:p>
            <w:pPr>
              <w:spacing w:line="240" w:lineRule="atLeast"/>
              <w:outlineLvl w:val="0"/>
              <w:rPr>
                <w:kern w:val="0"/>
                <w:sz w:val="21"/>
                <w:szCs w:val="21"/>
              </w:rPr>
            </w:pPr>
            <w:r>
              <w:rPr>
                <w:rFonts w:hint="eastAsia"/>
                <w:kern w:val="0"/>
                <w:sz w:val="21"/>
                <w:szCs w:val="21"/>
              </w:rPr>
              <w:t>对各医师小组、医师小组各月份进行服务能力评价、服务效率评价、服务质量评价。包含且不限于CMI、时间消耗指数、费用消耗指数、低风险组死亡率，再入院率等指标。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29" w:type="dxa"/>
            <w:vMerge w:val="continue"/>
          </w:tcPr>
          <w:p>
            <w:pPr>
              <w:spacing w:line="240" w:lineRule="atLeast"/>
              <w:jc w:val="center"/>
              <w:rPr>
                <w:kern w:val="0"/>
                <w:sz w:val="21"/>
                <w:szCs w:val="21"/>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责任医生绩效评价</w:t>
            </w:r>
          </w:p>
        </w:tc>
        <w:tc>
          <w:tcPr>
            <w:tcW w:w="4329" w:type="dxa"/>
          </w:tcPr>
          <w:p>
            <w:pPr>
              <w:spacing w:line="240" w:lineRule="atLeast"/>
              <w:outlineLvl w:val="0"/>
              <w:rPr>
                <w:kern w:val="0"/>
                <w:sz w:val="21"/>
                <w:szCs w:val="21"/>
              </w:rPr>
            </w:pPr>
            <w:r>
              <w:rPr>
                <w:rFonts w:hint="eastAsia"/>
                <w:kern w:val="0"/>
                <w:sz w:val="21"/>
                <w:szCs w:val="21"/>
              </w:rPr>
              <w:t>对各责任医生、责任医生各月份进行服务能力评价、服务效率评价、服务质量评价。包含且不限于CMI、时间消耗指数、费用消耗指数、低风险组死亡率，再入院率等指标。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29" w:type="dxa"/>
            <w:vMerge w:val="restart"/>
            <w:vAlign w:val="center"/>
          </w:tcPr>
          <w:p>
            <w:pPr>
              <w:spacing w:line="240" w:lineRule="atLeast"/>
              <w:jc w:val="center"/>
              <w:rPr>
                <w:kern w:val="0"/>
              </w:rPr>
            </w:pPr>
          </w:p>
          <w:p>
            <w:pPr>
              <w:rPr>
                <w:kern w:val="0"/>
              </w:rPr>
            </w:pPr>
          </w:p>
          <w:p>
            <w:pPr>
              <w:rPr>
                <w:kern w:val="0"/>
              </w:rPr>
            </w:pPr>
          </w:p>
          <w:p>
            <w:pPr>
              <w:ind w:firstLine="402"/>
              <w:rPr>
                <w:kern w:val="0"/>
              </w:rPr>
            </w:pPr>
            <w:r>
              <w:rPr>
                <w:rFonts w:hint="eastAsia"/>
                <w:kern w:val="0"/>
              </w:rPr>
              <w:t>6</w:t>
            </w:r>
          </w:p>
        </w:tc>
        <w:tc>
          <w:tcPr>
            <w:tcW w:w="1229" w:type="dxa"/>
            <w:vMerge w:val="restart"/>
            <w:vAlign w:val="center"/>
          </w:tcPr>
          <w:p>
            <w:pPr>
              <w:spacing w:line="240" w:lineRule="atLeast"/>
              <w:jc w:val="center"/>
              <w:rPr>
                <w:kern w:val="0"/>
                <w:sz w:val="21"/>
                <w:szCs w:val="21"/>
              </w:rPr>
            </w:pPr>
            <w:r>
              <w:rPr>
                <w:rFonts w:hint="eastAsia"/>
                <w:kern w:val="0"/>
                <w:sz w:val="21"/>
                <w:szCs w:val="21"/>
              </w:rPr>
              <w:t>医保导入</w:t>
            </w:r>
          </w:p>
        </w:tc>
        <w:tc>
          <w:tcPr>
            <w:tcW w:w="2145" w:type="dxa"/>
            <w:vAlign w:val="center"/>
          </w:tcPr>
          <w:p>
            <w:pPr>
              <w:spacing w:line="240" w:lineRule="atLeast"/>
              <w:jc w:val="center"/>
              <w:outlineLvl w:val="0"/>
              <w:rPr>
                <w:kern w:val="0"/>
                <w:sz w:val="21"/>
                <w:szCs w:val="21"/>
              </w:rPr>
            </w:pPr>
            <w:r>
              <w:rPr>
                <w:rFonts w:hint="eastAsia"/>
                <w:kern w:val="0"/>
                <w:sz w:val="21"/>
                <w:szCs w:val="21"/>
              </w:rPr>
              <w:t>任务管理</w:t>
            </w:r>
          </w:p>
        </w:tc>
        <w:tc>
          <w:tcPr>
            <w:tcW w:w="4329" w:type="dxa"/>
          </w:tcPr>
          <w:p>
            <w:pPr>
              <w:numPr>
                <w:ilvl w:val="0"/>
                <w:numId w:val="5"/>
              </w:numPr>
              <w:spacing w:line="240" w:lineRule="atLeast"/>
              <w:jc w:val="both"/>
              <w:outlineLvl w:val="0"/>
              <w:rPr>
                <w:kern w:val="0"/>
                <w:sz w:val="21"/>
                <w:szCs w:val="21"/>
              </w:rPr>
            </w:pPr>
            <w:r>
              <w:rPr>
                <w:rFonts w:hint="eastAsia"/>
                <w:kern w:val="0"/>
                <w:sz w:val="21"/>
                <w:szCs w:val="21"/>
              </w:rPr>
              <w:t>支持月度任务的创建、修改、编辑、删除；</w:t>
            </w:r>
          </w:p>
          <w:p>
            <w:pPr>
              <w:numPr>
                <w:ilvl w:val="0"/>
                <w:numId w:val="5"/>
              </w:numPr>
              <w:spacing w:line="240" w:lineRule="atLeast"/>
              <w:jc w:val="both"/>
              <w:outlineLvl w:val="0"/>
              <w:rPr>
                <w:kern w:val="0"/>
                <w:sz w:val="21"/>
                <w:szCs w:val="21"/>
              </w:rPr>
            </w:pPr>
            <w:r>
              <w:rPr>
                <w:rFonts w:hint="eastAsia"/>
                <w:kern w:val="0"/>
                <w:sz w:val="21"/>
                <w:szCs w:val="21"/>
              </w:rPr>
              <w:t>支持历史月度任务的状态、详情查看；</w:t>
            </w:r>
          </w:p>
          <w:p>
            <w:pPr>
              <w:numPr>
                <w:ilvl w:val="0"/>
                <w:numId w:val="5"/>
              </w:numPr>
              <w:spacing w:line="240" w:lineRule="atLeast"/>
              <w:jc w:val="both"/>
              <w:outlineLvl w:val="0"/>
              <w:rPr>
                <w:kern w:val="0"/>
                <w:sz w:val="21"/>
                <w:szCs w:val="21"/>
              </w:rPr>
            </w:pPr>
            <w:r>
              <w:rPr>
                <w:rFonts w:hint="eastAsia"/>
                <w:kern w:val="0"/>
                <w:sz w:val="21"/>
                <w:szCs w:val="21"/>
              </w:rPr>
              <w:t>支持任务截止时间的设定与修改；</w:t>
            </w:r>
          </w:p>
          <w:p>
            <w:pPr>
              <w:numPr>
                <w:ilvl w:val="0"/>
                <w:numId w:val="5"/>
              </w:numPr>
              <w:spacing w:line="240" w:lineRule="atLeast"/>
              <w:jc w:val="both"/>
              <w:outlineLvl w:val="0"/>
              <w:rPr>
                <w:kern w:val="0"/>
                <w:sz w:val="21"/>
                <w:szCs w:val="21"/>
              </w:rPr>
            </w:pPr>
            <w:r>
              <w:rPr>
                <w:rFonts w:hint="eastAsia"/>
                <w:kern w:val="0"/>
                <w:sz w:val="21"/>
                <w:szCs w:val="21"/>
              </w:rPr>
              <w:t>支持字段关联设置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29" w:type="dxa"/>
            <w:vMerge w:val="continue"/>
            <w:vAlign w:val="center"/>
          </w:tcPr>
          <w:p>
            <w:pPr>
              <w:jc w:val="center"/>
              <w:rPr>
                <w:kern w:val="0"/>
              </w:rPr>
            </w:pPr>
          </w:p>
        </w:tc>
        <w:tc>
          <w:tcPr>
            <w:tcW w:w="1229" w:type="dxa"/>
            <w:vMerge w:val="continue"/>
            <w:vAlign w:val="center"/>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数据导入</w:t>
            </w:r>
          </w:p>
        </w:tc>
        <w:tc>
          <w:tcPr>
            <w:tcW w:w="4329" w:type="dxa"/>
          </w:tcPr>
          <w:p>
            <w:pPr>
              <w:numPr>
                <w:ilvl w:val="0"/>
                <w:numId w:val="6"/>
              </w:numPr>
              <w:spacing w:line="240" w:lineRule="atLeast"/>
              <w:jc w:val="both"/>
              <w:outlineLvl w:val="0"/>
              <w:rPr>
                <w:kern w:val="0"/>
                <w:sz w:val="21"/>
                <w:szCs w:val="21"/>
              </w:rPr>
            </w:pPr>
            <w:r>
              <w:rPr>
                <w:rFonts w:hint="eastAsia"/>
                <w:kern w:val="0"/>
                <w:sz w:val="21"/>
                <w:szCs w:val="21"/>
              </w:rPr>
              <w:t>支持模板下载；</w:t>
            </w:r>
          </w:p>
          <w:p>
            <w:pPr>
              <w:numPr>
                <w:ilvl w:val="0"/>
                <w:numId w:val="6"/>
              </w:numPr>
              <w:spacing w:line="240" w:lineRule="atLeast"/>
              <w:jc w:val="both"/>
              <w:outlineLvl w:val="0"/>
              <w:rPr>
                <w:kern w:val="0"/>
                <w:sz w:val="21"/>
                <w:szCs w:val="21"/>
              </w:rPr>
            </w:pPr>
            <w:r>
              <w:rPr>
                <w:rFonts w:hint="eastAsia"/>
                <w:kern w:val="0"/>
                <w:sz w:val="21"/>
                <w:szCs w:val="21"/>
              </w:rPr>
              <w:t>支持医保数据的导入；</w:t>
            </w:r>
          </w:p>
          <w:p>
            <w:pPr>
              <w:numPr>
                <w:ilvl w:val="0"/>
                <w:numId w:val="6"/>
              </w:numPr>
              <w:spacing w:line="240" w:lineRule="atLeast"/>
              <w:jc w:val="both"/>
              <w:outlineLvl w:val="0"/>
              <w:rPr>
                <w:kern w:val="0"/>
                <w:sz w:val="21"/>
                <w:szCs w:val="21"/>
              </w:rPr>
            </w:pPr>
            <w:r>
              <w:rPr>
                <w:rFonts w:hint="eastAsia"/>
                <w:kern w:val="0"/>
                <w:sz w:val="21"/>
                <w:szCs w:val="21"/>
              </w:rPr>
              <w:t>支持医保数据与系统内数据，部分指标的比对，如入组是否相等、主诊断是否相等等；</w:t>
            </w:r>
          </w:p>
          <w:p>
            <w:pPr>
              <w:numPr>
                <w:ilvl w:val="0"/>
                <w:numId w:val="6"/>
              </w:numPr>
              <w:spacing w:line="240" w:lineRule="atLeast"/>
              <w:jc w:val="both"/>
              <w:outlineLvl w:val="0"/>
              <w:rPr>
                <w:kern w:val="0"/>
                <w:sz w:val="21"/>
                <w:szCs w:val="21"/>
              </w:rPr>
            </w:pPr>
            <w:r>
              <w:rPr>
                <w:rFonts w:hint="eastAsia"/>
                <w:kern w:val="0"/>
                <w:sz w:val="21"/>
                <w:szCs w:val="21"/>
              </w:rPr>
              <w:t>支持未匹配数据的科室分配；</w:t>
            </w:r>
          </w:p>
          <w:p>
            <w:pPr>
              <w:numPr>
                <w:ilvl w:val="0"/>
                <w:numId w:val="6"/>
              </w:numPr>
              <w:spacing w:line="240" w:lineRule="atLeast"/>
              <w:jc w:val="both"/>
              <w:outlineLvl w:val="0"/>
              <w:rPr>
                <w:kern w:val="0"/>
                <w:sz w:val="21"/>
                <w:szCs w:val="21"/>
              </w:rPr>
            </w:pPr>
            <w:r>
              <w:rPr>
                <w:rFonts w:hint="eastAsia"/>
                <w:kern w:val="0"/>
                <w:sz w:val="21"/>
                <w:szCs w:val="21"/>
              </w:rPr>
              <w:t>支持检索条件与表头字段的自定义配置；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29" w:type="dxa"/>
            <w:vMerge w:val="continue"/>
          </w:tcPr>
          <w:p>
            <w:pPr>
              <w:jc w:val="center"/>
              <w:rPr>
                <w:kern w:val="0"/>
              </w:rPr>
            </w:pPr>
          </w:p>
        </w:tc>
        <w:tc>
          <w:tcPr>
            <w:tcW w:w="1229" w:type="dxa"/>
            <w:vMerge w:val="continue"/>
          </w:tcPr>
          <w:p>
            <w:pPr>
              <w:spacing w:line="240" w:lineRule="atLeast"/>
              <w:jc w:val="center"/>
              <w:rPr>
                <w:kern w:val="0"/>
                <w:sz w:val="21"/>
                <w:szCs w:val="21"/>
              </w:rPr>
            </w:pPr>
          </w:p>
        </w:tc>
        <w:tc>
          <w:tcPr>
            <w:tcW w:w="2145" w:type="dxa"/>
            <w:vAlign w:val="center"/>
          </w:tcPr>
          <w:p>
            <w:pPr>
              <w:spacing w:line="240" w:lineRule="atLeast"/>
              <w:jc w:val="center"/>
              <w:outlineLvl w:val="0"/>
              <w:rPr>
                <w:kern w:val="0"/>
                <w:sz w:val="21"/>
                <w:szCs w:val="21"/>
              </w:rPr>
            </w:pPr>
            <w:r>
              <w:rPr>
                <w:rFonts w:hint="eastAsia"/>
                <w:kern w:val="0"/>
                <w:sz w:val="21"/>
                <w:szCs w:val="21"/>
              </w:rPr>
              <w:t>病例申诉</w:t>
            </w:r>
          </w:p>
        </w:tc>
        <w:tc>
          <w:tcPr>
            <w:tcW w:w="4329" w:type="dxa"/>
          </w:tcPr>
          <w:p>
            <w:pPr>
              <w:numPr>
                <w:ilvl w:val="0"/>
                <w:numId w:val="7"/>
              </w:numPr>
              <w:spacing w:line="240" w:lineRule="atLeast"/>
              <w:jc w:val="both"/>
              <w:outlineLvl w:val="0"/>
              <w:rPr>
                <w:kern w:val="0"/>
                <w:sz w:val="21"/>
                <w:szCs w:val="21"/>
              </w:rPr>
            </w:pPr>
            <w:r>
              <w:rPr>
                <w:rFonts w:hint="eastAsia"/>
                <w:kern w:val="0"/>
                <w:sz w:val="21"/>
                <w:szCs w:val="21"/>
              </w:rPr>
              <w:t>支持病例的申诉、查看、编辑；</w:t>
            </w:r>
          </w:p>
          <w:p>
            <w:pPr>
              <w:numPr>
                <w:ilvl w:val="0"/>
                <w:numId w:val="7"/>
              </w:numPr>
              <w:spacing w:line="240" w:lineRule="atLeast"/>
              <w:jc w:val="both"/>
              <w:outlineLvl w:val="0"/>
              <w:rPr>
                <w:kern w:val="0"/>
                <w:sz w:val="21"/>
                <w:szCs w:val="21"/>
              </w:rPr>
            </w:pPr>
            <w:r>
              <w:rPr>
                <w:rFonts w:hint="eastAsia"/>
                <w:kern w:val="0"/>
                <w:sz w:val="21"/>
                <w:szCs w:val="21"/>
              </w:rPr>
              <w:t>支持多种格式文件上传；</w:t>
            </w:r>
          </w:p>
          <w:p>
            <w:pPr>
              <w:numPr>
                <w:ilvl w:val="0"/>
                <w:numId w:val="7"/>
              </w:numPr>
              <w:spacing w:line="240" w:lineRule="atLeast"/>
              <w:jc w:val="both"/>
              <w:outlineLvl w:val="0"/>
              <w:rPr>
                <w:kern w:val="0"/>
                <w:sz w:val="21"/>
                <w:szCs w:val="21"/>
              </w:rPr>
            </w:pPr>
            <w:r>
              <w:rPr>
                <w:rFonts w:hint="eastAsia"/>
                <w:kern w:val="0"/>
                <w:sz w:val="21"/>
                <w:szCs w:val="21"/>
              </w:rPr>
              <w:t>支持任务截止日期的查看；</w:t>
            </w:r>
          </w:p>
          <w:p>
            <w:pPr>
              <w:numPr>
                <w:ilvl w:val="0"/>
                <w:numId w:val="7"/>
              </w:numPr>
              <w:spacing w:line="240" w:lineRule="atLeast"/>
              <w:jc w:val="both"/>
              <w:outlineLvl w:val="0"/>
              <w:rPr>
                <w:kern w:val="0"/>
                <w:sz w:val="21"/>
                <w:szCs w:val="21"/>
              </w:rPr>
            </w:pPr>
            <w:r>
              <w:rPr>
                <w:rFonts w:hint="eastAsia"/>
                <w:kern w:val="0"/>
                <w:sz w:val="21"/>
                <w:szCs w:val="21"/>
              </w:rPr>
              <w:t>支持申诉结果的导出；</w:t>
            </w:r>
          </w:p>
          <w:p>
            <w:pPr>
              <w:numPr>
                <w:ilvl w:val="0"/>
                <w:numId w:val="7"/>
              </w:numPr>
              <w:spacing w:line="240" w:lineRule="atLeast"/>
              <w:jc w:val="both"/>
              <w:outlineLvl w:val="0"/>
              <w:rPr>
                <w:kern w:val="0"/>
              </w:rPr>
            </w:pPr>
            <w:r>
              <w:rPr>
                <w:rFonts w:hint="eastAsia"/>
                <w:kern w:val="0"/>
                <w:sz w:val="21"/>
                <w:szCs w:val="21"/>
              </w:rPr>
              <w:t>支持单条/多条数据的下载；</w:t>
            </w:r>
          </w:p>
          <w:p>
            <w:pPr>
              <w:numPr>
                <w:ilvl w:val="0"/>
                <w:numId w:val="7"/>
              </w:numPr>
              <w:spacing w:line="240" w:lineRule="atLeast"/>
              <w:jc w:val="both"/>
              <w:outlineLvl w:val="0"/>
              <w:rPr>
                <w:kern w:val="0"/>
              </w:rPr>
            </w:pPr>
            <w:r>
              <w:rPr>
                <w:rFonts w:hint="eastAsia"/>
                <w:kern w:val="0"/>
                <w:sz w:val="21"/>
                <w:szCs w:val="21"/>
              </w:rPr>
              <w:t>支持检索条件与表头字段的自定义配置；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229" w:type="dxa"/>
            <w:vAlign w:val="center"/>
          </w:tcPr>
          <w:p>
            <w:pPr>
              <w:spacing w:line="240" w:lineRule="atLeast"/>
              <w:jc w:val="center"/>
              <w:rPr>
                <w:kern w:val="0"/>
                <w:sz w:val="21"/>
                <w:szCs w:val="21"/>
              </w:rPr>
            </w:pPr>
            <w:r>
              <w:rPr>
                <w:rFonts w:hint="eastAsia"/>
                <w:kern w:val="0"/>
                <w:sz w:val="21"/>
                <w:szCs w:val="21"/>
              </w:rPr>
              <w:t>7</w:t>
            </w:r>
          </w:p>
        </w:tc>
        <w:tc>
          <w:tcPr>
            <w:tcW w:w="1229" w:type="dxa"/>
            <w:vAlign w:val="center"/>
          </w:tcPr>
          <w:p>
            <w:pPr>
              <w:spacing w:line="240" w:lineRule="atLeast"/>
              <w:jc w:val="center"/>
              <w:rPr>
                <w:kern w:val="0"/>
                <w:sz w:val="21"/>
                <w:szCs w:val="21"/>
              </w:rPr>
            </w:pPr>
            <w:r>
              <w:rPr>
                <w:rFonts w:hint="eastAsia"/>
                <w:kern w:val="0"/>
                <w:sz w:val="21"/>
                <w:szCs w:val="21"/>
              </w:rPr>
              <w:t>报告导出</w:t>
            </w:r>
          </w:p>
        </w:tc>
        <w:tc>
          <w:tcPr>
            <w:tcW w:w="2145" w:type="dxa"/>
            <w:vAlign w:val="center"/>
          </w:tcPr>
          <w:p>
            <w:pPr>
              <w:spacing w:line="240" w:lineRule="atLeast"/>
              <w:jc w:val="center"/>
              <w:outlineLvl w:val="0"/>
              <w:rPr>
                <w:kern w:val="0"/>
                <w:sz w:val="21"/>
                <w:szCs w:val="21"/>
              </w:rPr>
            </w:pPr>
          </w:p>
        </w:tc>
        <w:tc>
          <w:tcPr>
            <w:tcW w:w="4329" w:type="dxa"/>
          </w:tcPr>
          <w:p>
            <w:pPr>
              <w:numPr>
                <w:ilvl w:val="0"/>
                <w:numId w:val="8"/>
              </w:numPr>
              <w:spacing w:line="240" w:lineRule="atLeast"/>
              <w:jc w:val="both"/>
              <w:outlineLvl w:val="0"/>
              <w:rPr>
                <w:kern w:val="0"/>
                <w:sz w:val="21"/>
                <w:szCs w:val="21"/>
              </w:rPr>
            </w:pPr>
            <w:r>
              <w:rPr>
                <w:rFonts w:hint="eastAsia"/>
                <w:kern w:val="0"/>
                <w:sz w:val="21"/>
                <w:szCs w:val="21"/>
              </w:rPr>
              <w:t>支持多种报告模板；</w:t>
            </w:r>
          </w:p>
          <w:p>
            <w:pPr>
              <w:numPr>
                <w:ilvl w:val="0"/>
                <w:numId w:val="8"/>
              </w:numPr>
              <w:spacing w:line="240" w:lineRule="atLeast"/>
              <w:jc w:val="both"/>
              <w:outlineLvl w:val="0"/>
              <w:rPr>
                <w:kern w:val="0"/>
                <w:sz w:val="21"/>
                <w:szCs w:val="21"/>
              </w:rPr>
            </w:pPr>
            <w:r>
              <w:rPr>
                <w:rFonts w:hint="eastAsia"/>
                <w:kern w:val="0"/>
                <w:sz w:val="21"/>
                <w:szCs w:val="21"/>
              </w:rPr>
              <w:t>支持模板预览；</w:t>
            </w:r>
          </w:p>
          <w:p>
            <w:pPr>
              <w:numPr>
                <w:ilvl w:val="0"/>
                <w:numId w:val="8"/>
              </w:numPr>
              <w:spacing w:line="240" w:lineRule="atLeast"/>
              <w:jc w:val="both"/>
              <w:outlineLvl w:val="0"/>
              <w:rPr>
                <w:kern w:val="0"/>
                <w:sz w:val="21"/>
                <w:szCs w:val="21"/>
              </w:rPr>
            </w:pPr>
            <w:r>
              <w:rPr>
                <w:rFonts w:hint="eastAsia"/>
                <w:kern w:val="0"/>
                <w:sz w:val="21"/>
                <w:szCs w:val="21"/>
              </w:rPr>
              <w:t>支持报告的在线生成；</w:t>
            </w:r>
          </w:p>
          <w:p>
            <w:pPr>
              <w:numPr>
                <w:ilvl w:val="0"/>
                <w:numId w:val="8"/>
              </w:numPr>
              <w:spacing w:line="240" w:lineRule="atLeast"/>
              <w:jc w:val="both"/>
              <w:outlineLvl w:val="0"/>
              <w:rPr>
                <w:kern w:val="0"/>
              </w:rPr>
            </w:pPr>
            <w:r>
              <w:rPr>
                <w:rFonts w:hint="eastAsia"/>
                <w:kern w:val="0"/>
                <w:sz w:val="21"/>
                <w:szCs w:val="21"/>
              </w:rPr>
              <w:t>支持历史报告的预览、下载、删除；</w:t>
            </w:r>
          </w:p>
          <w:p>
            <w:pPr>
              <w:numPr>
                <w:ilvl w:val="0"/>
                <w:numId w:val="8"/>
              </w:numPr>
              <w:spacing w:line="240" w:lineRule="atLeast"/>
              <w:jc w:val="both"/>
              <w:outlineLvl w:val="0"/>
              <w:rPr>
                <w:kern w:val="0"/>
              </w:rPr>
            </w:pPr>
            <w:r>
              <w:rPr>
                <w:rFonts w:hint="eastAsia"/>
                <w:kern w:val="0"/>
                <w:sz w:val="21"/>
                <w:szCs w:val="21"/>
              </w:rPr>
              <w:t>支持报告的PDF/Word版本下载；</w:t>
            </w:r>
          </w:p>
        </w:tc>
      </w:tr>
    </w:tbl>
    <w:p>
      <w:pPr>
        <w:spacing w:line="240" w:lineRule="atLeast"/>
        <w:jc w:val="center"/>
      </w:pPr>
    </w:p>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lang w:eastAsia="zh-Hans"/>
        </w:rPr>
      </w:pPr>
      <w:r>
        <w:rPr>
          <w:rFonts w:hint="eastAsia"/>
          <w:lang w:eastAsia="zh-Hans"/>
        </w:rPr>
        <w:t>结算清单管理系统功能表</w:t>
      </w:r>
    </w:p>
    <w:tbl>
      <w:tblPr>
        <w:tblStyle w:val="15"/>
        <w:tblW w:w="8429" w:type="dxa"/>
        <w:tblInd w:w="91" w:type="dxa"/>
        <w:tblLayout w:type="fixed"/>
        <w:tblCellMar>
          <w:top w:w="0" w:type="dxa"/>
          <w:left w:w="108" w:type="dxa"/>
          <w:bottom w:w="0" w:type="dxa"/>
          <w:right w:w="108" w:type="dxa"/>
        </w:tblCellMar>
      </w:tblPr>
      <w:tblGrid>
        <w:gridCol w:w="527"/>
        <w:gridCol w:w="655"/>
        <w:gridCol w:w="1095"/>
        <w:gridCol w:w="1458"/>
        <w:gridCol w:w="4694"/>
      </w:tblGrid>
      <w:tr>
        <w:tblPrEx>
          <w:tblCellMar>
            <w:top w:w="0" w:type="dxa"/>
            <w:left w:w="108" w:type="dxa"/>
            <w:bottom w:w="0" w:type="dxa"/>
            <w:right w:w="108" w:type="dxa"/>
          </w:tblCellMar>
        </w:tblPrEx>
        <w:trPr>
          <w:trHeight w:val="3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outlineLvl w:val="0"/>
              <w:rPr>
                <w:sz w:val="21"/>
                <w:szCs w:val="21"/>
                <w:lang w:eastAsia="zh-Hans"/>
              </w:rPr>
            </w:pPr>
            <w:r>
              <w:rPr>
                <w:rFonts w:hint="eastAsia"/>
                <w:sz w:val="21"/>
                <w:szCs w:val="21"/>
                <w:lang w:eastAsia="zh-Hans"/>
              </w:rPr>
              <w:t>序号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outlineLvl w:val="0"/>
              <w:rPr>
                <w:sz w:val="21"/>
                <w:szCs w:val="21"/>
              </w:rPr>
            </w:pPr>
            <w:r>
              <w:rPr>
                <w:rFonts w:hint="eastAsia"/>
                <w:sz w:val="21"/>
                <w:szCs w:val="21"/>
                <w:lang w:eastAsia="zh-Hans"/>
              </w:rPr>
              <w:t>子</w:t>
            </w:r>
            <w:r>
              <w:rPr>
                <w:rFonts w:hint="eastAsia"/>
                <w:sz w:val="21"/>
                <w:szCs w:val="21"/>
              </w:rPr>
              <w:t>系统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outlineLvl w:val="0"/>
              <w:rPr>
                <w:sz w:val="21"/>
                <w:szCs w:val="21"/>
                <w:lang w:eastAsia="zh-Hans"/>
              </w:rPr>
            </w:pPr>
            <w:r>
              <w:rPr>
                <w:rFonts w:hint="eastAsia"/>
                <w:sz w:val="21"/>
                <w:szCs w:val="21"/>
                <w:lang w:eastAsia="zh-Hans"/>
              </w:rPr>
              <w:t>功能模块</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outlineLvl w:val="0"/>
              <w:rPr>
                <w:sz w:val="21"/>
                <w:szCs w:val="21"/>
              </w:rPr>
            </w:pPr>
            <w:r>
              <w:rPr>
                <w:rFonts w:hint="eastAsia"/>
                <w:sz w:val="21"/>
                <w:szCs w:val="21"/>
                <w:lang w:eastAsia="zh-Hans"/>
              </w:rPr>
              <w:t>细分功能</w:t>
            </w:r>
          </w:p>
        </w:tc>
        <w:tc>
          <w:tcPr>
            <w:tcW w:w="4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outlineLvl w:val="0"/>
              <w:rPr>
                <w:sz w:val="21"/>
                <w:szCs w:val="21"/>
              </w:rPr>
            </w:pPr>
            <w:r>
              <w:rPr>
                <w:rFonts w:hint="eastAsia"/>
                <w:sz w:val="21"/>
                <w:szCs w:val="21"/>
              </w:rPr>
              <w:t>功能描述</w:t>
            </w:r>
          </w:p>
        </w:tc>
      </w:tr>
      <w:tr>
        <w:tblPrEx>
          <w:tblCellMar>
            <w:top w:w="0" w:type="dxa"/>
            <w:left w:w="108" w:type="dxa"/>
            <w:bottom w:w="0" w:type="dxa"/>
            <w:right w:w="108" w:type="dxa"/>
          </w:tblCellMar>
        </w:tblPrEx>
        <w:trPr>
          <w:trHeight w:val="203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sz w:val="21"/>
                <w:szCs w:val="21"/>
              </w:rPr>
              <w:t>1</w:t>
            </w:r>
          </w:p>
        </w:tc>
        <w:tc>
          <w:tcPr>
            <w:tcW w:w="65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临床端</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lang w:eastAsia="zh-Hans"/>
              </w:rPr>
            </w:pPr>
            <w:r>
              <w:rPr>
                <w:rFonts w:hint="eastAsia"/>
                <w:sz w:val="21"/>
                <w:szCs w:val="21"/>
                <w:lang w:eastAsia="zh-Hans"/>
              </w:rPr>
              <w:t>清单管理</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lang w:eastAsia="zh-Hans"/>
              </w:rPr>
            </w:pPr>
            <w:r>
              <w:rPr>
                <w:rFonts w:hint="eastAsia"/>
                <w:sz w:val="21"/>
                <w:szCs w:val="21"/>
              </w:rPr>
              <w:t>清单预览</w:t>
            </w:r>
            <w:r>
              <w:rPr>
                <w:rFonts w:hint="eastAsia"/>
                <w:sz w:val="21"/>
                <w:szCs w:val="21"/>
                <w:lang w:eastAsia="zh-Hans"/>
              </w:rPr>
              <w:t>、</w:t>
            </w:r>
            <w:r>
              <w:rPr>
                <w:rFonts w:hint="eastAsia"/>
                <w:sz w:val="21"/>
                <w:szCs w:val="21"/>
              </w:rPr>
              <w:br w:type="textWrapping"/>
            </w:r>
            <w:r>
              <w:rPr>
                <w:rFonts w:hint="eastAsia"/>
                <w:sz w:val="21"/>
                <w:szCs w:val="21"/>
              </w:rPr>
              <w:t>清单质控</w:t>
            </w:r>
            <w:r>
              <w:rPr>
                <w:rFonts w:hint="eastAsia"/>
                <w:sz w:val="21"/>
                <w:szCs w:val="21"/>
                <w:lang w:eastAsia="zh-Hans"/>
              </w:rPr>
              <w:t>、</w:t>
            </w:r>
          </w:p>
          <w:p>
            <w:pPr>
              <w:spacing w:line="240" w:lineRule="atLeast"/>
              <w:outlineLvl w:val="0"/>
              <w:rPr>
                <w:sz w:val="21"/>
                <w:szCs w:val="21"/>
                <w:lang w:eastAsia="zh-Hans"/>
              </w:rPr>
            </w:pPr>
            <w:r>
              <w:rPr>
                <w:rFonts w:hint="eastAsia"/>
                <w:sz w:val="21"/>
                <w:szCs w:val="21"/>
                <w:lang w:eastAsia="zh-Hans"/>
              </w:rPr>
              <w:t>清单</w:t>
            </w:r>
            <w:r>
              <w:rPr>
                <w:rFonts w:hint="eastAsia"/>
                <w:sz w:val="21"/>
                <w:szCs w:val="21"/>
              </w:rPr>
              <w:t>评分</w:t>
            </w:r>
            <w:r>
              <w:rPr>
                <w:rFonts w:hint="eastAsia"/>
                <w:sz w:val="21"/>
                <w:szCs w:val="21"/>
                <w:lang w:eastAsia="zh-Hans"/>
              </w:rPr>
              <w:t>、</w:t>
            </w:r>
            <w:r>
              <w:rPr>
                <w:rFonts w:hint="eastAsia"/>
                <w:sz w:val="21"/>
                <w:szCs w:val="21"/>
              </w:rPr>
              <w:br w:type="textWrapping"/>
            </w:r>
            <w:r>
              <w:rPr>
                <w:rFonts w:hint="eastAsia"/>
                <w:sz w:val="21"/>
                <w:szCs w:val="21"/>
              </w:rPr>
              <w:t>清单分组</w:t>
            </w:r>
            <w:r>
              <w:rPr>
                <w:rFonts w:hint="eastAsia"/>
                <w:sz w:val="21"/>
                <w:szCs w:val="21"/>
                <w:lang w:eastAsia="zh-Hans"/>
              </w:rPr>
              <w:t>、</w:t>
            </w:r>
          </w:p>
          <w:p>
            <w:pPr>
              <w:spacing w:line="240" w:lineRule="atLeast"/>
              <w:outlineLvl w:val="0"/>
              <w:rPr>
                <w:sz w:val="21"/>
                <w:szCs w:val="21"/>
                <w:lang w:eastAsia="zh-Hans"/>
              </w:rPr>
            </w:pPr>
            <w:r>
              <w:rPr>
                <w:rFonts w:hint="eastAsia"/>
                <w:sz w:val="21"/>
                <w:szCs w:val="21"/>
                <w:lang w:eastAsia="zh-Hans"/>
              </w:rPr>
              <w:t>清单编辑</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sz w:val="21"/>
                <w:szCs w:val="21"/>
                <w:lang w:eastAsia="zh-Hans"/>
              </w:rPr>
              <w:t>1.</w:t>
            </w:r>
            <w:r>
              <w:rPr>
                <w:rFonts w:hint="eastAsia"/>
                <w:sz w:val="21"/>
                <w:szCs w:val="21"/>
                <w:lang w:eastAsia="zh-Hans"/>
              </w:rPr>
              <w:t>支持</w:t>
            </w:r>
            <w:r>
              <w:rPr>
                <w:rFonts w:hint="eastAsia"/>
                <w:sz w:val="21"/>
                <w:szCs w:val="21"/>
              </w:rPr>
              <w:t>在院/出院患者病例</w:t>
            </w:r>
            <w:r>
              <w:rPr>
                <w:rFonts w:hint="eastAsia"/>
                <w:sz w:val="21"/>
                <w:szCs w:val="21"/>
                <w:lang w:eastAsia="zh-Hans"/>
              </w:rPr>
              <w:t>清单相关信息</w:t>
            </w:r>
            <w:r>
              <w:rPr>
                <w:rFonts w:hint="eastAsia"/>
                <w:sz w:val="21"/>
                <w:szCs w:val="21"/>
              </w:rPr>
              <w:t>提交</w:t>
            </w:r>
            <w:r>
              <w:rPr>
                <w:rFonts w:hint="eastAsia"/>
                <w:sz w:val="21"/>
                <w:szCs w:val="21"/>
                <w:lang w:eastAsia="zh-Hans"/>
              </w:rPr>
              <w:t>后</w:t>
            </w:r>
            <w:r>
              <w:rPr>
                <w:rFonts w:hint="eastAsia"/>
                <w:sz w:val="21"/>
                <w:szCs w:val="21"/>
              </w:rPr>
              <w:t>，</w:t>
            </w:r>
            <w:r>
              <w:rPr>
                <w:rFonts w:hint="eastAsia"/>
                <w:sz w:val="21"/>
                <w:szCs w:val="21"/>
                <w:lang w:eastAsia="zh-Hans"/>
              </w:rPr>
              <w:t>由</w:t>
            </w:r>
            <w:r>
              <w:rPr>
                <w:rFonts w:hint="eastAsia"/>
                <w:sz w:val="21"/>
                <w:szCs w:val="21"/>
              </w:rPr>
              <w:t>系统自动生成结算清单并进行清单质控，根据质控结果返回URL链接提供给客户端</w:t>
            </w:r>
            <w:r>
              <w:rPr>
                <w:rFonts w:hint="eastAsia"/>
                <w:sz w:val="21"/>
                <w:szCs w:val="21"/>
                <w:lang w:eastAsia="zh-Hans"/>
              </w:rPr>
              <w:t>；</w:t>
            </w:r>
          </w:p>
          <w:p>
            <w:pPr>
              <w:spacing w:line="240" w:lineRule="atLeast"/>
              <w:outlineLvl w:val="0"/>
              <w:rPr>
                <w:sz w:val="21"/>
                <w:szCs w:val="21"/>
              </w:rPr>
            </w:pPr>
            <w:r>
              <w:rPr>
                <w:sz w:val="21"/>
                <w:szCs w:val="21"/>
                <w:lang w:eastAsia="zh-Hans"/>
              </w:rPr>
              <w:t>2.</w:t>
            </w:r>
            <w:r>
              <w:rPr>
                <w:rFonts w:hint="eastAsia"/>
                <w:sz w:val="21"/>
                <w:szCs w:val="21"/>
                <w:lang w:eastAsia="zh-Hans"/>
              </w:rPr>
              <w:t>系统</w:t>
            </w:r>
            <w:r>
              <w:rPr>
                <w:rFonts w:hint="eastAsia"/>
                <w:sz w:val="21"/>
                <w:szCs w:val="21"/>
              </w:rPr>
              <w:t>支持进行清单预览、清单评分结果查看、清单质控结果查看，清单预分组结果查看。</w:t>
            </w:r>
          </w:p>
          <w:p>
            <w:pPr>
              <w:spacing w:line="240" w:lineRule="atLeast"/>
              <w:outlineLvl w:val="0"/>
              <w:rPr>
                <w:sz w:val="21"/>
                <w:szCs w:val="21"/>
              </w:rPr>
            </w:pPr>
            <w:r>
              <w:rPr>
                <w:sz w:val="21"/>
                <w:szCs w:val="21"/>
              </w:rPr>
              <w:t>3.</w:t>
            </w:r>
            <w:r>
              <w:rPr>
                <w:rFonts w:hint="eastAsia"/>
                <w:sz w:val="21"/>
                <w:szCs w:val="21"/>
              </w:rPr>
              <w:t>临床医生可根据质控结果返回his系统进行病案信息的修正。</w:t>
            </w:r>
          </w:p>
        </w:tc>
      </w:tr>
      <w:tr>
        <w:tblPrEx>
          <w:tblCellMar>
            <w:top w:w="0" w:type="dxa"/>
            <w:left w:w="108" w:type="dxa"/>
            <w:bottom w:w="0" w:type="dxa"/>
            <w:right w:w="108" w:type="dxa"/>
          </w:tblCellMar>
        </w:tblPrEx>
        <w:trPr>
          <w:trHeight w:val="1360" w:hRule="atLeast"/>
        </w:trPr>
        <w:tc>
          <w:tcPr>
            <w:tcW w:w="527" w:type="dxa"/>
            <w:vMerge w:val="restart"/>
            <w:tcBorders>
              <w:top w:val="single" w:color="000000" w:sz="4" w:space="0"/>
              <w:left w:val="single" w:color="000000" w:sz="4" w:space="0"/>
              <w:right w:val="single" w:color="000000" w:sz="4" w:space="0"/>
            </w:tcBorders>
            <w:vAlign w:val="center"/>
          </w:tcPr>
          <w:p>
            <w:pPr>
              <w:spacing w:line="240" w:lineRule="atLeast"/>
              <w:jc w:val="center"/>
              <w:outlineLvl w:val="0"/>
              <w:rPr>
                <w:sz w:val="21"/>
                <w:szCs w:val="21"/>
              </w:rPr>
            </w:pPr>
            <w:r>
              <w:rPr>
                <w:sz w:val="21"/>
                <w:szCs w:val="21"/>
              </w:rPr>
              <w:t>2</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管理端</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系统首页</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统计预览</w:t>
            </w:r>
            <w:r>
              <w:rPr>
                <w:rFonts w:hint="eastAsia"/>
                <w:sz w:val="21"/>
                <w:szCs w:val="21"/>
              </w:rPr>
              <w:br w:type="textWrapping"/>
            </w:r>
            <w:r>
              <w:rPr>
                <w:rFonts w:hint="eastAsia"/>
                <w:sz w:val="21"/>
                <w:szCs w:val="21"/>
              </w:rPr>
              <w:t>数据下钻</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1.按照指定时间区间，进行总体清单数、机审违规及违规占比统计、归档进展统计、归档上传统计、清单评分前后均分的比对、清单入组情况分析及入组率统计。</w:t>
            </w:r>
          </w:p>
          <w:p>
            <w:pPr>
              <w:spacing w:line="240" w:lineRule="atLeast"/>
              <w:outlineLvl w:val="0"/>
              <w:rPr>
                <w:sz w:val="21"/>
                <w:szCs w:val="21"/>
              </w:rPr>
            </w:pPr>
            <w:r>
              <w:rPr>
                <w:rFonts w:hint="eastAsia"/>
                <w:sz w:val="21"/>
                <w:szCs w:val="21"/>
              </w:rPr>
              <w:t>2.系统提供按照违规规则统计、按照科室/病区统计机审违规及人工反馈top值，支持跳转查看违规明细信息。</w:t>
            </w:r>
          </w:p>
          <w:p>
            <w:pPr>
              <w:spacing w:line="240" w:lineRule="atLeast"/>
              <w:outlineLvl w:val="0"/>
              <w:rPr>
                <w:sz w:val="21"/>
                <w:szCs w:val="21"/>
              </w:rPr>
            </w:pPr>
            <w:r>
              <w:rPr>
                <w:rFonts w:hint="eastAsia"/>
                <w:sz w:val="21"/>
                <w:szCs w:val="21"/>
              </w:rPr>
              <w:t>3.首页提供工作量分析、基金类型、病例类型、医保支付方式的分析，辅助院内管理者进行院内考核及基金分配。</w:t>
            </w:r>
          </w:p>
        </w:tc>
      </w:tr>
      <w:tr>
        <w:tblPrEx>
          <w:tblCellMar>
            <w:top w:w="0" w:type="dxa"/>
            <w:left w:w="108" w:type="dxa"/>
            <w:bottom w:w="0" w:type="dxa"/>
            <w:right w:w="108" w:type="dxa"/>
          </w:tblCellMar>
        </w:tblPrEx>
        <w:trPr>
          <w:trHeight w:val="68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restart"/>
            <w:tcBorders>
              <w:top w:val="single" w:color="000000" w:sz="4" w:space="0"/>
              <w:left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清单</w:t>
            </w:r>
            <w:r>
              <w:rPr>
                <w:rFonts w:hint="eastAsia"/>
                <w:sz w:val="21"/>
                <w:szCs w:val="21"/>
                <w:lang w:eastAsia="zh-Hans"/>
              </w:rPr>
              <w:t>审核及</w:t>
            </w:r>
            <w:r>
              <w:rPr>
                <w:rFonts w:hint="eastAsia"/>
                <w:sz w:val="21"/>
                <w:szCs w:val="21"/>
              </w:rPr>
              <w:t>质控</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清单</w:t>
            </w:r>
            <w:r>
              <w:rPr>
                <w:rFonts w:hint="eastAsia"/>
                <w:sz w:val="21"/>
                <w:szCs w:val="21"/>
                <w:lang w:eastAsia="zh-Hans"/>
              </w:rPr>
              <w:t>审核流程设置</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lang w:eastAsia="zh-Hans"/>
              </w:rPr>
            </w:pPr>
            <w:r>
              <w:rPr>
                <w:rFonts w:hint="eastAsia"/>
                <w:sz w:val="21"/>
                <w:szCs w:val="21"/>
                <w:lang w:eastAsia="zh-Hans"/>
              </w:rPr>
              <w:t>支持根据用户管理需要，设置清单管理流程，可包括初审</w:t>
            </w:r>
            <w:r>
              <w:rPr>
                <w:sz w:val="21"/>
                <w:szCs w:val="21"/>
                <w:lang w:eastAsia="zh-Hans"/>
              </w:rPr>
              <w:t>-</w:t>
            </w:r>
            <w:r>
              <w:rPr>
                <w:rFonts w:hint="eastAsia"/>
                <w:sz w:val="21"/>
                <w:szCs w:val="21"/>
                <w:lang w:eastAsia="zh-Hans"/>
              </w:rPr>
              <w:t>复审</w:t>
            </w:r>
            <w:r>
              <w:rPr>
                <w:sz w:val="21"/>
                <w:szCs w:val="21"/>
                <w:lang w:eastAsia="zh-Hans"/>
              </w:rPr>
              <w:t>-</w:t>
            </w:r>
            <w:r>
              <w:rPr>
                <w:rFonts w:hint="eastAsia"/>
                <w:sz w:val="21"/>
                <w:szCs w:val="21"/>
                <w:lang w:eastAsia="zh-Hans"/>
              </w:rPr>
              <w:t>三审</w:t>
            </w:r>
            <w:r>
              <w:rPr>
                <w:sz w:val="21"/>
                <w:szCs w:val="21"/>
                <w:lang w:eastAsia="zh-Hans"/>
              </w:rPr>
              <w:t>-</w:t>
            </w:r>
            <w:r>
              <w:rPr>
                <w:rFonts w:hint="eastAsia"/>
                <w:sz w:val="21"/>
                <w:szCs w:val="21"/>
                <w:lang w:eastAsia="zh-Hans"/>
              </w:rPr>
              <w:t>四审</w:t>
            </w:r>
            <w:r>
              <w:rPr>
                <w:sz w:val="21"/>
                <w:szCs w:val="21"/>
                <w:lang w:eastAsia="zh-Hans"/>
              </w:rPr>
              <w:t>-</w:t>
            </w:r>
            <w:r>
              <w:rPr>
                <w:rFonts w:hint="eastAsia"/>
                <w:sz w:val="21"/>
                <w:szCs w:val="21"/>
                <w:lang w:eastAsia="zh-Hans"/>
              </w:rPr>
              <w:t>终审等</w:t>
            </w:r>
          </w:p>
        </w:tc>
      </w:tr>
      <w:tr>
        <w:tblPrEx>
          <w:tblCellMar>
            <w:top w:w="0" w:type="dxa"/>
            <w:left w:w="108" w:type="dxa"/>
            <w:bottom w:w="0" w:type="dxa"/>
            <w:right w:w="108" w:type="dxa"/>
          </w:tblCellMar>
        </w:tblPrEx>
        <w:trPr>
          <w:trHeight w:val="68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left w:val="single" w:color="000000" w:sz="4" w:space="0"/>
              <w:right w:val="single" w:color="000000" w:sz="4" w:space="0"/>
            </w:tcBorders>
            <w:vAlign w:val="center"/>
          </w:tcPr>
          <w:p>
            <w:pPr>
              <w:spacing w:line="240" w:lineRule="atLeast"/>
              <w:jc w:val="center"/>
              <w:outlineLvl w:val="0"/>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lang w:eastAsia="zh-Hans"/>
              </w:rPr>
            </w:pPr>
            <w:r>
              <w:rPr>
                <w:rFonts w:hint="eastAsia"/>
                <w:sz w:val="21"/>
                <w:szCs w:val="21"/>
                <w:lang w:eastAsia="zh-Hans"/>
              </w:rPr>
              <w:t>清单质控</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支持查看清单质控结果（正常\违规），选中单条清单数据，可查看清单原始数据信息及清单的质控违规提示，按照违规分类分别显示违规提醒及扣费信息；</w:t>
            </w:r>
          </w:p>
        </w:tc>
      </w:tr>
      <w:tr>
        <w:tblPrEx>
          <w:tblCellMar>
            <w:top w:w="0" w:type="dxa"/>
            <w:left w:w="108" w:type="dxa"/>
            <w:bottom w:w="0" w:type="dxa"/>
            <w:right w:w="108" w:type="dxa"/>
          </w:tblCellMar>
        </w:tblPrEx>
        <w:trPr>
          <w:trHeight w:val="68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清单查看/编辑</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按照用户操作权限，可点击查看\编辑进行清单的预览及编辑，用户在线进行清单编辑后可实时调用清单质控引擎及分组引擎进行修正后结算清单的质控与模拟分组</w:t>
            </w:r>
          </w:p>
        </w:tc>
      </w:tr>
      <w:tr>
        <w:tblPrEx>
          <w:tblCellMar>
            <w:top w:w="0" w:type="dxa"/>
            <w:left w:w="108" w:type="dxa"/>
            <w:bottom w:w="0" w:type="dxa"/>
            <w:right w:w="108" w:type="dxa"/>
          </w:tblCellMar>
        </w:tblPrEx>
        <w:trPr>
          <w:trHeight w:val="34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清单分组前后比对</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清单列表展示结算清单修正前后的入组情，可用于修正前后的比对</w:t>
            </w:r>
          </w:p>
        </w:tc>
      </w:tr>
      <w:tr>
        <w:tblPrEx>
          <w:tblCellMar>
            <w:top w:w="0" w:type="dxa"/>
            <w:left w:w="108" w:type="dxa"/>
            <w:bottom w:w="0" w:type="dxa"/>
            <w:right w:w="108" w:type="dxa"/>
          </w:tblCellMar>
        </w:tblPrEx>
        <w:trPr>
          <w:trHeight w:val="102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清单审核/反馈</w:t>
            </w:r>
          </w:p>
        </w:tc>
        <w:tc>
          <w:tcPr>
            <w:tcW w:w="4694"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240" w:lineRule="atLeast"/>
              <w:outlineLvl w:val="0"/>
              <w:rPr>
                <w:sz w:val="21"/>
                <w:szCs w:val="21"/>
              </w:rPr>
            </w:pPr>
            <w:r>
              <w:rPr>
                <w:rFonts w:hint="eastAsia"/>
                <w:sz w:val="21"/>
                <w:szCs w:val="21"/>
              </w:rPr>
              <w:t>支持结算清单的单条/批量的审核通过；</w:t>
            </w:r>
          </w:p>
          <w:p>
            <w:pPr>
              <w:numPr>
                <w:ilvl w:val="0"/>
                <w:numId w:val="9"/>
              </w:numPr>
              <w:spacing w:line="240" w:lineRule="atLeast"/>
              <w:outlineLvl w:val="0"/>
              <w:rPr>
                <w:sz w:val="21"/>
                <w:szCs w:val="21"/>
              </w:rPr>
            </w:pPr>
            <w:r>
              <w:rPr>
                <w:rFonts w:hint="eastAsia"/>
                <w:sz w:val="21"/>
                <w:szCs w:val="21"/>
              </w:rPr>
              <w:t>清单审核过程中，若存在错填漏填等违规信息，用户可进行反馈意见的填写并反馈至前置审核节点，前置审核节点</w:t>
            </w:r>
            <w:r>
              <w:rPr>
                <w:rFonts w:hint="eastAsia"/>
                <w:sz w:val="21"/>
                <w:szCs w:val="21"/>
                <w:lang w:eastAsia="zh-Hans"/>
              </w:rPr>
              <w:t>用户可</w:t>
            </w:r>
            <w:r>
              <w:rPr>
                <w:rFonts w:hint="eastAsia"/>
                <w:sz w:val="21"/>
                <w:szCs w:val="21"/>
              </w:rPr>
              <w:t>进行病案的调整与补充，重新</w:t>
            </w:r>
            <w:r>
              <w:rPr>
                <w:rFonts w:hint="eastAsia"/>
                <w:sz w:val="21"/>
                <w:szCs w:val="21"/>
                <w:lang w:eastAsia="zh-Hans"/>
              </w:rPr>
              <w:t>进行</w:t>
            </w:r>
            <w:r>
              <w:rPr>
                <w:rFonts w:hint="eastAsia"/>
                <w:sz w:val="21"/>
                <w:szCs w:val="21"/>
              </w:rPr>
              <w:t>数据上传；</w:t>
            </w:r>
          </w:p>
          <w:p>
            <w:pPr>
              <w:numPr>
                <w:ilvl w:val="0"/>
                <w:numId w:val="9"/>
              </w:numPr>
              <w:spacing w:line="240" w:lineRule="atLeast"/>
              <w:outlineLvl w:val="0"/>
              <w:rPr>
                <w:sz w:val="21"/>
                <w:szCs w:val="21"/>
              </w:rPr>
            </w:pPr>
            <w:r>
              <w:rPr>
                <w:rFonts w:hint="eastAsia"/>
                <w:sz w:val="21"/>
                <w:szCs w:val="21"/>
              </w:rPr>
              <w:t>审核无误的清单，可进行单条/批量数据的审核通过操作，提交至下一个节点。</w:t>
            </w:r>
          </w:p>
        </w:tc>
      </w:tr>
      <w:tr>
        <w:tblPrEx>
          <w:tblCellMar>
            <w:top w:w="0" w:type="dxa"/>
            <w:left w:w="108" w:type="dxa"/>
            <w:bottom w:w="0" w:type="dxa"/>
            <w:right w:w="108" w:type="dxa"/>
          </w:tblCellMar>
        </w:tblPrEx>
        <w:trPr>
          <w:trHeight w:val="34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清单归档上传</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清单归档</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审核完成后，结算清单进行自动归档，不支持修改；支持清单预览；</w:t>
            </w:r>
          </w:p>
        </w:tc>
      </w:tr>
      <w:tr>
        <w:tblPrEx>
          <w:tblCellMar>
            <w:top w:w="0" w:type="dxa"/>
            <w:left w:w="108" w:type="dxa"/>
            <w:bottom w:w="0" w:type="dxa"/>
            <w:right w:w="108" w:type="dxa"/>
          </w:tblCellMar>
        </w:tblPrEx>
        <w:trPr>
          <w:trHeight w:val="492"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lang w:eastAsia="zh-Hans"/>
              </w:rPr>
            </w:pPr>
            <w:r>
              <w:rPr>
                <w:rFonts w:hint="eastAsia"/>
                <w:sz w:val="21"/>
                <w:szCs w:val="21"/>
              </w:rPr>
              <w:t>清单</w:t>
            </w:r>
            <w:r>
              <w:rPr>
                <w:rFonts w:hint="eastAsia"/>
                <w:sz w:val="21"/>
                <w:szCs w:val="21"/>
                <w:lang w:eastAsia="zh-Hans"/>
              </w:rPr>
              <w:t>导出</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支持归档清单打印、导出pdf</w:t>
            </w:r>
          </w:p>
        </w:tc>
      </w:tr>
      <w:tr>
        <w:tblPrEx>
          <w:tblCellMar>
            <w:top w:w="0" w:type="dxa"/>
            <w:left w:w="108" w:type="dxa"/>
            <w:bottom w:w="0" w:type="dxa"/>
            <w:right w:w="108" w:type="dxa"/>
          </w:tblCellMar>
        </w:tblPrEx>
        <w:trPr>
          <w:trHeight w:val="102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结算清单上传</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结算清单确认无误后，可进行单条/批量上传医保，根据医保上传质控结果更新上传状态，若清单未上传/上传失败/审核不通过时，均支持主动或被动撤档，将结算清单撤回审核流程中，支持结算清单的修改编辑，修正完成可重新审核归档，上传医保。</w:t>
            </w:r>
          </w:p>
        </w:tc>
      </w:tr>
      <w:tr>
        <w:tblPrEx>
          <w:tblCellMar>
            <w:top w:w="0" w:type="dxa"/>
            <w:left w:w="108" w:type="dxa"/>
            <w:bottom w:w="0" w:type="dxa"/>
            <w:right w:w="108" w:type="dxa"/>
          </w:tblCellMar>
        </w:tblPrEx>
        <w:trPr>
          <w:trHeight w:val="68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医保反馈</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医保数据反馈医保反馈数据导入</w:t>
            </w:r>
            <w:r>
              <w:rPr>
                <w:rFonts w:hint="eastAsia"/>
                <w:sz w:val="21"/>
                <w:szCs w:val="21"/>
                <w:lang w:eastAsia="zh-Hans"/>
              </w:rPr>
              <w:t>、</w:t>
            </w:r>
            <w:r>
              <w:rPr>
                <w:rFonts w:hint="eastAsia"/>
                <w:sz w:val="21"/>
                <w:szCs w:val="21"/>
              </w:rPr>
              <w:br w:type="textWrapping"/>
            </w:r>
            <w:r>
              <w:rPr>
                <w:rFonts w:hint="eastAsia"/>
                <w:sz w:val="21"/>
                <w:szCs w:val="21"/>
              </w:rPr>
              <w:t>差异比对</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按结算月度进行数据归集，根据反馈信息与清单分组、主诊断、主手术的对比差异及医保分组费用及医疗总费用的对比差异，进行确认是否申诉或退回审核流程，如申诉可在线填写申诉材料，反馈医保，如退回可修正数据重新上传医保</w:t>
            </w:r>
          </w:p>
        </w:tc>
      </w:tr>
      <w:tr>
        <w:tblPrEx>
          <w:tblCellMar>
            <w:top w:w="0" w:type="dxa"/>
            <w:left w:w="108" w:type="dxa"/>
            <w:bottom w:w="0" w:type="dxa"/>
            <w:right w:w="108" w:type="dxa"/>
          </w:tblCellMar>
        </w:tblPrEx>
        <w:trPr>
          <w:trHeight w:val="68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结算数据管理医保结算数据导入</w:t>
            </w:r>
            <w:r>
              <w:rPr>
                <w:rFonts w:hint="eastAsia"/>
                <w:sz w:val="21"/>
                <w:szCs w:val="21"/>
              </w:rPr>
              <w:br w:type="textWrapping"/>
            </w:r>
            <w:r>
              <w:rPr>
                <w:rFonts w:hint="eastAsia"/>
                <w:sz w:val="21"/>
                <w:szCs w:val="21"/>
              </w:rPr>
              <w:t>结算信息分析</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医保结算数据导入，根据结算月度进行数据归集，展示月度结算信息，进行数据分析</w:t>
            </w:r>
          </w:p>
        </w:tc>
      </w:tr>
      <w:tr>
        <w:tblPrEx>
          <w:tblCellMar>
            <w:top w:w="0" w:type="dxa"/>
            <w:left w:w="108" w:type="dxa"/>
            <w:bottom w:w="0" w:type="dxa"/>
            <w:right w:w="108" w:type="dxa"/>
          </w:tblCellMar>
        </w:tblPrEx>
        <w:trPr>
          <w:trHeight w:val="68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清单查询</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清单类型范围</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支持全医保支付方式清单的质控及管理包括：按项目、单病种、按病种分值、疾病诊断相关分组（DRG），按床日、按人头、其他</w:t>
            </w:r>
          </w:p>
        </w:tc>
      </w:tr>
      <w:tr>
        <w:tblPrEx>
          <w:tblCellMar>
            <w:top w:w="0" w:type="dxa"/>
            <w:left w:w="108" w:type="dxa"/>
            <w:bottom w:w="0" w:type="dxa"/>
            <w:right w:w="108" w:type="dxa"/>
          </w:tblCellMar>
        </w:tblPrEx>
        <w:trPr>
          <w:trHeight w:val="34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r>
              <w:rPr>
                <w:rFonts w:hint="eastAsia"/>
                <w:sz w:val="21"/>
                <w:szCs w:val="21"/>
              </w:rPr>
              <w:t>清单查询</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清单查询列表支持查看全量结算清单数据，支持各界面统计图的下钻数据显示，支持数据下载。</w:t>
            </w:r>
          </w:p>
        </w:tc>
      </w:tr>
      <w:tr>
        <w:tblPrEx>
          <w:tblCellMar>
            <w:top w:w="0" w:type="dxa"/>
            <w:left w:w="108" w:type="dxa"/>
            <w:bottom w:w="0" w:type="dxa"/>
            <w:right w:w="108" w:type="dxa"/>
          </w:tblCellMar>
        </w:tblPrEx>
        <w:trPr>
          <w:trHeight w:val="34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统计分析</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评分分析</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按照指定时间区间，统计结算清单修改前后预分组情况及评分情况，支持查看清单具体扣分项。</w:t>
            </w:r>
          </w:p>
        </w:tc>
      </w:tr>
      <w:tr>
        <w:tblPrEx>
          <w:tblCellMar>
            <w:top w:w="0" w:type="dxa"/>
            <w:left w:w="108" w:type="dxa"/>
            <w:bottom w:w="0" w:type="dxa"/>
            <w:right w:w="108" w:type="dxa"/>
          </w:tblCellMar>
        </w:tblPrEx>
        <w:trPr>
          <w:trHeight w:val="102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规则分析</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1.分别统计全院/科室/病区/医师小组在指定时间段内，按照违规规则分类进行数据聚合，统计规则总数、违规规则数、违规清单数、违规占比、机审违规数、修正前后均分及反馈次数等。</w:t>
            </w:r>
          </w:p>
          <w:p>
            <w:pPr>
              <w:spacing w:line="240" w:lineRule="atLeast"/>
              <w:outlineLvl w:val="0"/>
              <w:rPr>
                <w:sz w:val="21"/>
                <w:szCs w:val="21"/>
              </w:rPr>
            </w:pPr>
            <w:r>
              <w:rPr>
                <w:rFonts w:hint="eastAsia"/>
                <w:sz w:val="21"/>
                <w:szCs w:val="21"/>
              </w:rPr>
              <w:t>2.统计图按照违规规则分类、违规规则进行排序，显示全院、科室、病区、医师的违规情况。</w:t>
            </w:r>
          </w:p>
        </w:tc>
      </w:tr>
      <w:tr>
        <w:tblPrEx>
          <w:tblCellMar>
            <w:top w:w="0" w:type="dxa"/>
            <w:left w:w="108" w:type="dxa"/>
            <w:bottom w:w="0" w:type="dxa"/>
            <w:right w:w="108" w:type="dxa"/>
          </w:tblCellMar>
        </w:tblPrEx>
        <w:trPr>
          <w:trHeight w:val="68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工作量统计</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按照指定时间区间，对用户账号进行审核工作量统计，分别统计审核次数、审核清单数、反馈次数修改清单次数等。</w:t>
            </w:r>
          </w:p>
        </w:tc>
      </w:tr>
      <w:tr>
        <w:tblPrEx>
          <w:tblCellMar>
            <w:top w:w="0" w:type="dxa"/>
            <w:left w:w="108" w:type="dxa"/>
            <w:bottom w:w="0" w:type="dxa"/>
            <w:right w:w="108" w:type="dxa"/>
          </w:tblCellMar>
        </w:tblPrEx>
        <w:trPr>
          <w:trHeight w:val="34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基础设置</w:t>
            </w: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诊断字典</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支持维护医院诊断表、医保诊断标准表；</w:t>
            </w:r>
          </w:p>
        </w:tc>
      </w:tr>
      <w:tr>
        <w:tblPrEx>
          <w:tblCellMar>
            <w:top w:w="0" w:type="dxa"/>
            <w:left w:w="108" w:type="dxa"/>
            <w:bottom w:w="0" w:type="dxa"/>
            <w:right w:w="108" w:type="dxa"/>
          </w:tblCellMar>
        </w:tblPrEx>
        <w:trPr>
          <w:trHeight w:val="34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手术字典</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支持维护医院手术表、医保手术标准表；</w:t>
            </w:r>
          </w:p>
        </w:tc>
      </w:tr>
      <w:tr>
        <w:tblPrEx>
          <w:tblCellMar>
            <w:top w:w="0" w:type="dxa"/>
            <w:left w:w="108" w:type="dxa"/>
            <w:bottom w:w="0" w:type="dxa"/>
            <w:right w:w="108" w:type="dxa"/>
          </w:tblCellMar>
        </w:tblPrEx>
        <w:trPr>
          <w:trHeight w:val="34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诊断映射</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支持院内人员进行诊断映射表的维护管理，医院诊断表映射到医保诊断标准表。</w:t>
            </w:r>
          </w:p>
        </w:tc>
      </w:tr>
      <w:tr>
        <w:tblPrEx>
          <w:tblCellMar>
            <w:top w:w="0" w:type="dxa"/>
            <w:left w:w="108" w:type="dxa"/>
            <w:bottom w:w="0" w:type="dxa"/>
            <w:right w:w="108" w:type="dxa"/>
          </w:tblCellMar>
        </w:tblPrEx>
        <w:trPr>
          <w:trHeight w:val="340" w:hRule="atLeast"/>
        </w:trPr>
        <w:tc>
          <w:tcPr>
            <w:tcW w:w="527" w:type="dxa"/>
            <w:vMerge w:val="continue"/>
            <w:tcBorders>
              <w:left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手术映射</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支持院内人员进行手术映射表的维护管理，医院手术表映射到医保手术标准表。</w:t>
            </w:r>
          </w:p>
        </w:tc>
      </w:tr>
      <w:tr>
        <w:tblPrEx>
          <w:tblCellMar>
            <w:top w:w="0" w:type="dxa"/>
            <w:left w:w="108" w:type="dxa"/>
            <w:bottom w:w="0" w:type="dxa"/>
            <w:right w:w="108" w:type="dxa"/>
          </w:tblCellMar>
        </w:tblPrEx>
        <w:trPr>
          <w:trHeight w:val="340" w:hRule="atLeast"/>
        </w:trPr>
        <w:tc>
          <w:tcPr>
            <w:tcW w:w="527" w:type="dxa"/>
            <w:vMerge w:val="continue"/>
            <w:tcBorders>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sz w:val="21"/>
                <w:szCs w:val="21"/>
              </w:rPr>
            </w:pPr>
          </w:p>
        </w:tc>
        <w:tc>
          <w:tcPr>
            <w:tcW w:w="145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outlineLvl w:val="0"/>
              <w:rPr>
                <w:sz w:val="21"/>
                <w:szCs w:val="21"/>
              </w:rPr>
            </w:pPr>
            <w:r>
              <w:rPr>
                <w:rFonts w:hint="eastAsia"/>
                <w:sz w:val="21"/>
                <w:szCs w:val="21"/>
              </w:rPr>
              <w:t>规则配置</w:t>
            </w:r>
          </w:p>
        </w:tc>
        <w:tc>
          <w:tcPr>
            <w:tcW w:w="4694" w:type="dxa"/>
            <w:tcBorders>
              <w:top w:val="single" w:color="000000" w:sz="4" w:space="0"/>
              <w:left w:val="single" w:color="000000" w:sz="4" w:space="0"/>
              <w:bottom w:val="single" w:color="000000" w:sz="4" w:space="0"/>
              <w:right w:val="single" w:color="000000" w:sz="4" w:space="0"/>
            </w:tcBorders>
            <w:vAlign w:val="center"/>
          </w:tcPr>
          <w:p>
            <w:pPr>
              <w:spacing w:line="240" w:lineRule="atLeast"/>
              <w:outlineLvl w:val="0"/>
              <w:rPr>
                <w:sz w:val="21"/>
                <w:szCs w:val="21"/>
              </w:rPr>
            </w:pPr>
            <w:r>
              <w:rPr>
                <w:rFonts w:hint="eastAsia"/>
                <w:sz w:val="21"/>
                <w:szCs w:val="21"/>
              </w:rPr>
              <w:t>支持院内人员进行规则的启用、停用操作及规则分值的设置。</w:t>
            </w:r>
          </w:p>
        </w:tc>
      </w:tr>
    </w:tbl>
    <w:p>
      <w:pPr>
        <w:pStyle w:val="2"/>
        <w:rPr>
          <w:rFonts w:hint="default"/>
        </w:rPr>
      </w:pPr>
    </w:p>
    <w:p/>
    <w:p>
      <w:pPr>
        <w:pStyle w:val="4"/>
        <w:rPr>
          <w:rFonts w:hint="eastAsia"/>
          <w:lang w:val="en-US" w:eastAsia="zh-CN"/>
        </w:rPr>
      </w:pPr>
      <w:r>
        <w:rPr>
          <w:rFonts w:hint="eastAsia"/>
          <w:lang w:val="en-US" w:eastAsia="zh-CN"/>
        </w:rPr>
        <w:t>诊间审核系统功能表</w:t>
      </w:r>
    </w:p>
    <w:tbl>
      <w:tblPr>
        <w:tblStyle w:val="15"/>
        <w:tblW w:w="5303" w:type="pct"/>
        <w:tblInd w:w="0" w:type="dxa"/>
        <w:tblLayout w:type="autofit"/>
        <w:tblCellMar>
          <w:top w:w="0" w:type="dxa"/>
          <w:left w:w="108" w:type="dxa"/>
          <w:bottom w:w="0" w:type="dxa"/>
          <w:right w:w="108" w:type="dxa"/>
        </w:tblCellMar>
      </w:tblPr>
      <w:tblGrid>
        <w:gridCol w:w="1021"/>
        <w:gridCol w:w="1898"/>
        <w:gridCol w:w="6119"/>
      </w:tblGrid>
      <w:tr>
        <w:tblPrEx>
          <w:tblCellMar>
            <w:top w:w="0" w:type="dxa"/>
            <w:left w:w="108" w:type="dxa"/>
            <w:bottom w:w="0" w:type="dxa"/>
            <w:right w:w="108" w:type="dxa"/>
          </w:tblCellMar>
        </w:tblPrEx>
        <w:trPr>
          <w:trHeight w:val="312" w:hRule="atLeast"/>
        </w:trPr>
        <w:tc>
          <w:tcPr>
            <w:tcW w:w="56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outlineLvl w:val="0"/>
              <w:rPr>
                <w:rFonts w:hint="eastAsia"/>
                <w:sz w:val="21"/>
                <w:szCs w:val="21"/>
              </w:rPr>
            </w:pPr>
            <w:r>
              <w:rPr>
                <w:rFonts w:hint="eastAsia"/>
                <w:sz w:val="21"/>
                <w:szCs w:val="21"/>
              </w:rPr>
              <w:t>序号</w:t>
            </w:r>
          </w:p>
        </w:tc>
        <w:tc>
          <w:tcPr>
            <w:tcW w:w="1050" w:type="pct"/>
            <w:tcBorders>
              <w:top w:val="single" w:color="auto" w:sz="4" w:space="0"/>
              <w:left w:val="nil"/>
              <w:bottom w:val="single" w:color="auto" w:sz="4" w:space="0"/>
              <w:right w:val="single" w:color="auto" w:sz="4" w:space="0"/>
            </w:tcBorders>
            <w:shd w:val="clear" w:color="auto" w:fill="auto"/>
            <w:vAlign w:val="center"/>
          </w:tcPr>
          <w:p>
            <w:pPr>
              <w:spacing w:line="240" w:lineRule="atLeast"/>
              <w:outlineLvl w:val="0"/>
              <w:rPr>
                <w:rFonts w:hint="eastAsia"/>
                <w:sz w:val="21"/>
                <w:szCs w:val="21"/>
              </w:rPr>
            </w:pPr>
            <w:r>
              <w:rPr>
                <w:rFonts w:hint="eastAsia"/>
                <w:sz w:val="21"/>
                <w:szCs w:val="21"/>
              </w:rPr>
              <w:t>功能分类</w:t>
            </w:r>
          </w:p>
        </w:tc>
        <w:tc>
          <w:tcPr>
            <w:tcW w:w="3385" w:type="pct"/>
            <w:tcBorders>
              <w:top w:val="single" w:color="auto" w:sz="4" w:space="0"/>
              <w:left w:val="nil"/>
              <w:bottom w:val="single" w:color="auto" w:sz="4" w:space="0"/>
              <w:right w:val="single" w:color="auto" w:sz="4" w:space="0"/>
            </w:tcBorders>
            <w:shd w:val="clear" w:color="auto" w:fill="auto"/>
            <w:vAlign w:val="center"/>
          </w:tcPr>
          <w:p>
            <w:pPr>
              <w:spacing w:line="240" w:lineRule="atLeast"/>
              <w:jc w:val="center"/>
              <w:outlineLvl w:val="0"/>
              <w:rPr>
                <w:rFonts w:hint="eastAsia"/>
                <w:sz w:val="21"/>
                <w:szCs w:val="21"/>
              </w:rPr>
            </w:pPr>
            <w:r>
              <w:rPr>
                <w:rFonts w:hint="eastAsia"/>
                <w:sz w:val="21"/>
                <w:szCs w:val="21"/>
              </w:rPr>
              <w:t>功能说明</w:t>
            </w:r>
          </w:p>
        </w:tc>
      </w:tr>
      <w:tr>
        <w:tblPrEx>
          <w:tblCellMar>
            <w:top w:w="0" w:type="dxa"/>
            <w:left w:w="108" w:type="dxa"/>
            <w:bottom w:w="0" w:type="dxa"/>
            <w:right w:w="108" w:type="dxa"/>
          </w:tblCellMar>
        </w:tblPrEx>
        <w:trPr>
          <w:trHeight w:val="1248" w:hRule="atLeast"/>
        </w:trPr>
        <w:tc>
          <w:tcPr>
            <w:tcW w:w="565" w:type="pct"/>
            <w:tcBorders>
              <w:top w:val="nil"/>
              <w:left w:val="single" w:color="auto" w:sz="4" w:space="0"/>
              <w:bottom w:val="single" w:color="auto" w:sz="4" w:space="0"/>
              <w:right w:val="single" w:color="auto" w:sz="4" w:space="0"/>
            </w:tcBorders>
            <w:shd w:val="clear" w:color="auto" w:fill="auto"/>
            <w:vAlign w:val="center"/>
          </w:tcPr>
          <w:p>
            <w:pPr>
              <w:spacing w:line="240" w:lineRule="atLeast"/>
              <w:outlineLvl w:val="0"/>
              <w:rPr>
                <w:rFonts w:hint="eastAsia"/>
                <w:sz w:val="21"/>
                <w:szCs w:val="21"/>
              </w:rPr>
            </w:pPr>
            <w:r>
              <w:rPr>
                <w:rFonts w:hint="eastAsia"/>
                <w:sz w:val="21"/>
                <w:szCs w:val="21"/>
              </w:rPr>
              <w:t>1</w:t>
            </w:r>
          </w:p>
        </w:tc>
        <w:tc>
          <w:tcPr>
            <w:tcW w:w="1050" w:type="pct"/>
            <w:tcBorders>
              <w:top w:val="nil"/>
              <w:left w:val="nil"/>
              <w:bottom w:val="single" w:color="auto" w:sz="4" w:space="0"/>
              <w:right w:val="single" w:color="auto" w:sz="4" w:space="0"/>
            </w:tcBorders>
            <w:shd w:val="clear" w:color="auto" w:fill="auto"/>
            <w:vAlign w:val="center"/>
          </w:tcPr>
          <w:p>
            <w:pPr>
              <w:spacing w:line="240" w:lineRule="atLeast"/>
              <w:outlineLvl w:val="0"/>
              <w:rPr>
                <w:rFonts w:hint="eastAsia"/>
                <w:sz w:val="21"/>
                <w:szCs w:val="21"/>
              </w:rPr>
            </w:pPr>
            <w:bookmarkStart w:id="2" w:name="_GoBack"/>
            <w:bookmarkEnd w:id="2"/>
            <w:r>
              <w:rPr>
                <w:rFonts w:hint="eastAsia"/>
                <w:sz w:val="21"/>
                <w:szCs w:val="21"/>
              </w:rPr>
              <w:t>实时提醒</w:t>
            </w:r>
          </w:p>
        </w:tc>
        <w:tc>
          <w:tcPr>
            <w:tcW w:w="3385" w:type="pct"/>
            <w:tcBorders>
              <w:top w:val="nil"/>
              <w:left w:val="nil"/>
              <w:bottom w:val="single" w:color="auto" w:sz="4" w:space="0"/>
              <w:right w:val="single" w:color="auto" w:sz="4" w:space="0"/>
            </w:tcBorders>
            <w:shd w:val="clear" w:color="auto" w:fill="auto"/>
            <w:vAlign w:val="center"/>
          </w:tcPr>
          <w:p>
            <w:pPr>
              <w:spacing w:line="240" w:lineRule="atLeast"/>
              <w:outlineLvl w:val="0"/>
              <w:rPr>
                <w:rFonts w:hint="eastAsia"/>
                <w:sz w:val="21"/>
                <w:szCs w:val="21"/>
                <w:lang w:eastAsia="zh-Hans"/>
              </w:rPr>
            </w:pPr>
            <w:r>
              <w:rPr>
                <w:rFonts w:hint="eastAsia"/>
                <w:sz w:val="21"/>
                <w:szCs w:val="21"/>
                <w:lang w:eastAsia="zh-Hans"/>
              </w:rPr>
              <w:t>针对患者参保类型（</w:t>
            </w:r>
            <w:r>
              <w:rPr>
                <w:rFonts w:hint="eastAsia"/>
                <w:sz w:val="21"/>
                <w:szCs w:val="21"/>
              </w:rPr>
              <w:t>医保、自费均可）</w:t>
            </w:r>
            <w:r>
              <w:rPr>
                <w:rFonts w:hint="eastAsia"/>
                <w:sz w:val="21"/>
                <w:szCs w:val="21"/>
                <w:lang w:eastAsia="zh-Hans"/>
              </w:rPr>
              <w:t>、诊疗信息、执行明细、收费信息等，进行</w:t>
            </w:r>
            <w:r>
              <w:rPr>
                <w:rFonts w:hint="eastAsia"/>
                <w:sz w:val="21"/>
                <w:szCs w:val="21"/>
              </w:rPr>
              <w:t>实时合规</w:t>
            </w:r>
            <w:r>
              <w:rPr>
                <w:rFonts w:hint="eastAsia"/>
                <w:sz w:val="21"/>
                <w:szCs w:val="21"/>
                <w:lang w:eastAsia="zh-Hans"/>
              </w:rPr>
              <w:t>审核</w:t>
            </w:r>
            <w:r>
              <w:rPr>
                <w:rFonts w:hint="eastAsia"/>
                <w:sz w:val="21"/>
                <w:szCs w:val="21"/>
              </w:rPr>
              <w:t>。</w:t>
            </w:r>
            <w:r>
              <w:rPr>
                <w:rFonts w:hint="eastAsia"/>
                <w:sz w:val="21"/>
                <w:szCs w:val="21"/>
                <w:lang w:eastAsia="zh-Hans"/>
              </w:rPr>
              <w:t>审核规则遵循医保政策、国家临床诊疗规范等多元要求，审核内容对门诊和住院均适用，医生对违规单据可进行实时处理</w:t>
            </w:r>
            <w:r>
              <w:rPr>
                <w:rFonts w:hint="eastAsia"/>
                <w:sz w:val="21"/>
                <w:szCs w:val="21"/>
              </w:rPr>
              <w:t>：</w:t>
            </w:r>
          </w:p>
          <w:p>
            <w:pPr>
              <w:spacing w:line="240" w:lineRule="atLeast"/>
              <w:outlineLvl w:val="0"/>
              <w:rPr>
                <w:rFonts w:hint="eastAsia"/>
                <w:sz w:val="21"/>
                <w:szCs w:val="21"/>
                <w:lang w:eastAsia="zh-Hans"/>
              </w:rPr>
            </w:pPr>
            <w:r>
              <w:rPr>
                <w:rFonts w:hint="eastAsia"/>
                <w:sz w:val="21"/>
                <w:szCs w:val="21"/>
                <w:lang w:eastAsia="zh-Hans"/>
              </w:rPr>
              <w:t>（1）门诊医生</w:t>
            </w:r>
            <w:r>
              <w:rPr>
                <w:rFonts w:hint="eastAsia"/>
                <w:sz w:val="21"/>
                <w:szCs w:val="21"/>
              </w:rPr>
              <w:t>：</w:t>
            </w:r>
            <w:r>
              <w:rPr>
                <w:rFonts w:hint="eastAsia"/>
                <w:sz w:val="21"/>
                <w:szCs w:val="21"/>
                <w:lang w:eastAsia="zh-Hans"/>
              </w:rPr>
              <w:t xml:space="preserve"> 在医生为病人开据处方过程中，及时根据病人历史用药和就诊信息进行合理用药安全分析，为医生开据处方提供数据支持。</w:t>
            </w:r>
          </w:p>
          <w:p>
            <w:pPr>
              <w:spacing w:line="240" w:lineRule="atLeast"/>
              <w:outlineLvl w:val="0"/>
              <w:rPr>
                <w:rFonts w:hint="eastAsia"/>
                <w:sz w:val="21"/>
                <w:szCs w:val="21"/>
                <w:lang w:eastAsia="zh-Hans"/>
              </w:rPr>
            </w:pPr>
            <w:r>
              <w:rPr>
                <w:rFonts w:hint="eastAsia"/>
                <w:sz w:val="21"/>
                <w:szCs w:val="21"/>
                <w:lang w:eastAsia="zh-Hans"/>
              </w:rPr>
              <w:t>（2）住院医生</w:t>
            </w:r>
            <w:r>
              <w:rPr>
                <w:rFonts w:hint="eastAsia"/>
                <w:sz w:val="21"/>
                <w:szCs w:val="21"/>
              </w:rPr>
              <w:t>：</w:t>
            </w:r>
            <w:r>
              <w:rPr>
                <w:rFonts w:hint="eastAsia"/>
                <w:sz w:val="21"/>
                <w:szCs w:val="21"/>
                <w:lang w:eastAsia="zh-Hans"/>
              </w:rPr>
              <w:t>除满足（1）之外，还应根据病人基本信息（性别、年龄、是否孕期、是否哺乳期、过敏史等）以及诊断、检查/检验、手术</w:t>
            </w:r>
            <w:r>
              <w:rPr>
                <w:rFonts w:hint="eastAsia"/>
                <w:sz w:val="21"/>
                <w:szCs w:val="21"/>
              </w:rPr>
              <w:t>以及医院配置的临床审核规则</w:t>
            </w:r>
            <w:r>
              <w:rPr>
                <w:rFonts w:hint="eastAsia"/>
                <w:sz w:val="21"/>
                <w:szCs w:val="21"/>
                <w:lang w:eastAsia="zh-Hans"/>
              </w:rPr>
              <w:t>等信息，对医生所开具的病人用药医嘱进行</w:t>
            </w:r>
            <w:r>
              <w:rPr>
                <w:rFonts w:hint="eastAsia"/>
                <w:sz w:val="21"/>
                <w:szCs w:val="21"/>
              </w:rPr>
              <w:t>综合</w:t>
            </w:r>
            <w:r>
              <w:rPr>
                <w:rFonts w:hint="eastAsia"/>
                <w:sz w:val="21"/>
                <w:szCs w:val="21"/>
                <w:lang w:eastAsia="zh-Hans"/>
              </w:rPr>
              <w:t>合理用药异常审核和安全检查。</w:t>
            </w:r>
          </w:p>
          <w:p>
            <w:pPr>
              <w:spacing w:line="240" w:lineRule="atLeast"/>
              <w:outlineLvl w:val="0"/>
              <w:rPr>
                <w:rFonts w:hint="eastAsia"/>
                <w:sz w:val="21"/>
                <w:szCs w:val="21"/>
                <w:lang w:eastAsia="zh-Hans"/>
              </w:rPr>
            </w:pPr>
          </w:p>
        </w:tc>
      </w:tr>
      <w:tr>
        <w:tblPrEx>
          <w:tblCellMar>
            <w:top w:w="0" w:type="dxa"/>
            <w:left w:w="108" w:type="dxa"/>
            <w:bottom w:w="0" w:type="dxa"/>
            <w:right w:w="108" w:type="dxa"/>
          </w:tblCellMar>
        </w:tblPrEx>
        <w:trPr>
          <w:trHeight w:val="1728"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line="240" w:lineRule="atLeast"/>
              <w:outlineLvl w:val="0"/>
              <w:rPr>
                <w:rFonts w:hint="eastAsia"/>
                <w:sz w:val="21"/>
                <w:szCs w:val="21"/>
              </w:rPr>
            </w:pPr>
            <w:r>
              <w:rPr>
                <w:rFonts w:hint="eastAsia"/>
                <w:sz w:val="21"/>
                <w:szCs w:val="21"/>
              </w:rPr>
              <w:t>2</w:t>
            </w:r>
          </w:p>
        </w:tc>
        <w:tc>
          <w:tcPr>
            <w:tcW w:w="1050" w:type="pct"/>
            <w:tcBorders>
              <w:top w:val="nil"/>
              <w:left w:val="nil"/>
              <w:bottom w:val="single" w:color="auto" w:sz="4" w:space="0"/>
              <w:right w:val="single" w:color="auto" w:sz="4" w:space="0"/>
            </w:tcBorders>
            <w:shd w:val="clear" w:color="auto" w:fill="auto"/>
            <w:noWrap/>
            <w:vAlign w:val="center"/>
          </w:tcPr>
          <w:p>
            <w:pPr>
              <w:spacing w:line="240" w:lineRule="atLeast"/>
              <w:outlineLvl w:val="0"/>
              <w:rPr>
                <w:rFonts w:hint="eastAsia"/>
                <w:sz w:val="21"/>
                <w:szCs w:val="21"/>
              </w:rPr>
            </w:pPr>
            <w:r>
              <w:rPr>
                <w:rFonts w:hint="eastAsia"/>
                <w:sz w:val="21"/>
                <w:szCs w:val="21"/>
              </w:rPr>
              <w:t>规则配置</w:t>
            </w:r>
          </w:p>
        </w:tc>
        <w:tc>
          <w:tcPr>
            <w:tcW w:w="3385" w:type="pct"/>
            <w:tcBorders>
              <w:top w:val="nil"/>
              <w:left w:val="nil"/>
              <w:bottom w:val="single" w:color="auto" w:sz="4" w:space="0"/>
              <w:right w:val="single" w:color="auto" w:sz="4" w:space="0"/>
            </w:tcBorders>
            <w:shd w:val="clear" w:color="auto" w:fill="auto"/>
            <w:vAlign w:val="bottom"/>
          </w:tcPr>
          <w:p>
            <w:pPr>
              <w:spacing w:line="240" w:lineRule="atLeast"/>
              <w:outlineLvl w:val="0"/>
              <w:rPr>
                <w:rFonts w:hint="eastAsia"/>
                <w:sz w:val="21"/>
                <w:szCs w:val="21"/>
              </w:rPr>
            </w:pPr>
            <w:r>
              <w:rPr>
                <w:rFonts w:hint="eastAsia"/>
                <w:sz w:val="21"/>
                <w:szCs w:val="21"/>
              </w:rPr>
              <w:t>智能审核规则主要包含医保药品规则、诊疗项目规则、医用材料规则等。规则细类设计可以包含但不仅限于以下分类：</w:t>
            </w:r>
          </w:p>
          <w:p>
            <w:pPr>
              <w:spacing w:line="240" w:lineRule="atLeast"/>
              <w:outlineLvl w:val="0"/>
              <w:rPr>
                <w:rFonts w:hint="eastAsia"/>
                <w:sz w:val="21"/>
                <w:szCs w:val="21"/>
              </w:rPr>
            </w:pPr>
            <w:r>
              <w:rPr>
                <w:rFonts w:hint="eastAsia"/>
                <w:sz w:val="21"/>
                <w:szCs w:val="21"/>
              </w:rPr>
              <w:t>重复用药;(2)重复收费;(3)不合理转院;</w:t>
            </w:r>
          </w:p>
          <w:p>
            <w:pPr>
              <w:spacing w:line="240" w:lineRule="atLeast"/>
              <w:outlineLvl w:val="0"/>
              <w:rPr>
                <w:rFonts w:hint="eastAsia"/>
                <w:sz w:val="21"/>
                <w:szCs w:val="21"/>
              </w:rPr>
            </w:pPr>
            <w:r>
              <w:rPr>
                <w:rFonts w:hint="eastAsia"/>
                <w:sz w:val="21"/>
                <w:szCs w:val="21"/>
              </w:rPr>
              <w:t>(4)不合理入院;(5)门诊频次异常;(6)药品超量;</w:t>
            </w:r>
          </w:p>
          <w:p>
            <w:pPr>
              <w:spacing w:line="240" w:lineRule="atLeast"/>
              <w:outlineLvl w:val="0"/>
              <w:rPr>
                <w:rFonts w:hint="eastAsia"/>
                <w:sz w:val="21"/>
                <w:szCs w:val="21"/>
              </w:rPr>
            </w:pPr>
            <w:r>
              <w:rPr>
                <w:rFonts w:hint="eastAsia"/>
                <w:sz w:val="21"/>
                <w:szCs w:val="21"/>
              </w:rPr>
              <w:t xml:space="preserve">(7)中药饮片审核;(8)用药安全审核;(9)超临床常规治疗频次;(10)非基本医疗保险目录;(11)限定性别审核;(12)限儿童;(13)超限定数量;(14)超限定价格;(15)限定医院类型级别;(16)限定就医方式;(17)分解住院;(18)超限定频次;(19)违反项目匹配;(20)违反限定适应症(条件)用药;(21)中成药联合使用审核;(22)阶梯用药审核; </w:t>
            </w:r>
          </w:p>
        </w:tc>
      </w:tr>
      <w:tr>
        <w:tblPrEx>
          <w:tblCellMar>
            <w:top w:w="0" w:type="dxa"/>
            <w:left w:w="108" w:type="dxa"/>
            <w:bottom w:w="0" w:type="dxa"/>
            <w:right w:w="108" w:type="dxa"/>
          </w:tblCellMar>
        </w:tblPrEx>
        <w:trPr>
          <w:trHeight w:val="605"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spacing w:line="240" w:lineRule="atLeast"/>
              <w:outlineLvl w:val="0"/>
              <w:rPr>
                <w:rFonts w:hint="eastAsia"/>
                <w:sz w:val="21"/>
                <w:szCs w:val="21"/>
              </w:rPr>
            </w:pPr>
            <w:r>
              <w:rPr>
                <w:rFonts w:hint="eastAsia"/>
                <w:sz w:val="21"/>
                <w:szCs w:val="21"/>
              </w:rPr>
              <w:t>3</w:t>
            </w:r>
          </w:p>
        </w:tc>
        <w:tc>
          <w:tcPr>
            <w:tcW w:w="1050" w:type="pct"/>
            <w:tcBorders>
              <w:top w:val="nil"/>
              <w:left w:val="nil"/>
              <w:bottom w:val="single" w:color="auto" w:sz="4" w:space="0"/>
              <w:right w:val="single" w:color="auto" w:sz="4" w:space="0"/>
            </w:tcBorders>
            <w:shd w:val="clear" w:color="auto" w:fill="auto"/>
            <w:noWrap/>
            <w:vAlign w:val="center"/>
          </w:tcPr>
          <w:p>
            <w:pPr>
              <w:spacing w:line="240" w:lineRule="atLeast"/>
              <w:outlineLvl w:val="0"/>
              <w:rPr>
                <w:rFonts w:hint="eastAsia"/>
                <w:sz w:val="21"/>
                <w:szCs w:val="21"/>
              </w:rPr>
            </w:pPr>
            <w:r>
              <w:rPr>
                <w:rFonts w:hint="eastAsia"/>
                <w:sz w:val="21"/>
                <w:szCs w:val="21"/>
              </w:rPr>
              <w:t>单据查询</w:t>
            </w:r>
          </w:p>
        </w:tc>
        <w:tc>
          <w:tcPr>
            <w:tcW w:w="3385" w:type="pct"/>
            <w:tcBorders>
              <w:top w:val="nil"/>
              <w:left w:val="nil"/>
              <w:bottom w:val="single" w:color="auto" w:sz="4" w:space="0"/>
              <w:right w:val="single" w:color="auto" w:sz="4" w:space="0"/>
            </w:tcBorders>
            <w:shd w:val="clear" w:color="auto" w:fill="auto"/>
            <w:vAlign w:val="bottom"/>
          </w:tcPr>
          <w:p>
            <w:pPr>
              <w:spacing w:line="240" w:lineRule="atLeast"/>
              <w:outlineLvl w:val="0"/>
              <w:rPr>
                <w:rFonts w:hint="eastAsia"/>
                <w:sz w:val="21"/>
                <w:szCs w:val="21"/>
              </w:rPr>
            </w:pPr>
            <w:r>
              <w:rPr>
                <w:rFonts w:hint="eastAsia"/>
                <w:sz w:val="21"/>
                <w:szCs w:val="21"/>
              </w:rPr>
              <w:t>单据查询主要为医院管理者</w:t>
            </w:r>
            <w:r>
              <w:rPr>
                <w:rFonts w:hint="eastAsia"/>
                <w:sz w:val="21"/>
                <w:szCs w:val="21"/>
                <w:lang w:eastAsia="zh-Hans"/>
              </w:rPr>
              <w:t>提供决策支持辅助，</w:t>
            </w:r>
            <w:r>
              <w:rPr>
                <w:rFonts w:hint="eastAsia"/>
                <w:sz w:val="21"/>
                <w:szCs w:val="21"/>
              </w:rPr>
              <w:t>系统支持对已审核的所有单据进行信息查询，并支持查看单据的费用明细，实现从参保类型、就医方式、住院状态、人员类别、科室、医生、参保人、单据号等角度进行单项定义或综合查询。</w:t>
            </w:r>
          </w:p>
          <w:p>
            <w:pPr>
              <w:spacing w:line="240" w:lineRule="atLeast"/>
              <w:outlineLvl w:val="0"/>
              <w:rPr>
                <w:rFonts w:hint="eastAsia"/>
                <w:sz w:val="21"/>
                <w:szCs w:val="21"/>
              </w:rPr>
            </w:pPr>
            <w:r>
              <w:rPr>
                <w:rFonts w:hint="eastAsia"/>
                <w:sz w:val="21"/>
                <w:szCs w:val="21"/>
              </w:rPr>
              <w:t>管理者通过</w:t>
            </w:r>
            <w:r>
              <w:rPr>
                <w:rFonts w:hint="eastAsia"/>
                <w:sz w:val="21"/>
                <w:szCs w:val="21"/>
                <w:lang w:eastAsia="zh-Hans"/>
              </w:rPr>
              <w:t>查询某患者在院期间所有历史数据以及违规数据，</w:t>
            </w:r>
            <w:r>
              <w:rPr>
                <w:rFonts w:hint="eastAsia"/>
                <w:sz w:val="21"/>
                <w:szCs w:val="21"/>
              </w:rPr>
              <w:t>可以</w:t>
            </w:r>
            <w:r>
              <w:rPr>
                <w:rFonts w:hint="eastAsia"/>
                <w:sz w:val="21"/>
                <w:szCs w:val="21"/>
                <w:lang w:eastAsia="zh-Hans"/>
              </w:rPr>
              <w:t>跟踪分析医生的医疗行为，及时发现不合理用药、不合理检查、不合理收费行为，</w:t>
            </w:r>
            <w:r>
              <w:rPr>
                <w:rFonts w:hint="eastAsia"/>
                <w:sz w:val="21"/>
                <w:szCs w:val="21"/>
              </w:rPr>
              <w:t>实现对</w:t>
            </w:r>
            <w:r>
              <w:rPr>
                <w:rFonts w:hint="eastAsia"/>
                <w:sz w:val="21"/>
                <w:szCs w:val="21"/>
                <w:lang w:eastAsia="zh-Hans"/>
              </w:rPr>
              <w:t>异常违规信息</w:t>
            </w:r>
            <w:r>
              <w:rPr>
                <w:rFonts w:hint="eastAsia"/>
                <w:sz w:val="21"/>
                <w:szCs w:val="21"/>
              </w:rPr>
              <w:t>的</w:t>
            </w:r>
            <w:r>
              <w:rPr>
                <w:rFonts w:hint="eastAsia"/>
                <w:sz w:val="21"/>
                <w:szCs w:val="21"/>
                <w:lang w:eastAsia="zh-Hans"/>
              </w:rPr>
              <w:t>全方面监控</w:t>
            </w:r>
            <w:r>
              <w:rPr>
                <w:rFonts w:hint="eastAsia"/>
                <w:sz w:val="21"/>
                <w:szCs w:val="21"/>
              </w:rPr>
              <w:t>。</w:t>
            </w:r>
          </w:p>
        </w:tc>
      </w:tr>
      <w:tr>
        <w:tblPrEx>
          <w:tblCellMar>
            <w:top w:w="0" w:type="dxa"/>
            <w:left w:w="108" w:type="dxa"/>
            <w:bottom w:w="0" w:type="dxa"/>
            <w:right w:w="108" w:type="dxa"/>
          </w:tblCellMar>
        </w:tblPrEx>
        <w:trPr>
          <w:trHeight w:val="2016" w:hRule="atLeast"/>
        </w:trPr>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outlineLvl w:val="0"/>
              <w:rPr>
                <w:rFonts w:hint="eastAsia"/>
                <w:sz w:val="21"/>
                <w:szCs w:val="21"/>
              </w:rPr>
            </w:pPr>
            <w:r>
              <w:rPr>
                <w:rFonts w:hint="eastAsia"/>
                <w:sz w:val="21"/>
                <w:szCs w:val="21"/>
              </w:rPr>
              <w:t>4</w:t>
            </w:r>
          </w:p>
        </w:tc>
        <w:tc>
          <w:tcPr>
            <w:tcW w:w="1050" w:type="pct"/>
            <w:tcBorders>
              <w:top w:val="single" w:color="auto" w:sz="4" w:space="0"/>
              <w:left w:val="nil"/>
              <w:bottom w:val="single" w:color="auto" w:sz="4" w:space="0"/>
              <w:right w:val="single" w:color="auto" w:sz="4" w:space="0"/>
            </w:tcBorders>
            <w:shd w:val="clear" w:color="auto" w:fill="auto"/>
            <w:noWrap/>
            <w:vAlign w:val="center"/>
          </w:tcPr>
          <w:p>
            <w:pPr>
              <w:spacing w:line="240" w:lineRule="atLeast"/>
              <w:outlineLvl w:val="0"/>
              <w:rPr>
                <w:rFonts w:hint="eastAsia"/>
                <w:sz w:val="21"/>
                <w:szCs w:val="21"/>
              </w:rPr>
            </w:pPr>
            <w:r>
              <w:rPr>
                <w:rFonts w:hint="eastAsia"/>
                <w:sz w:val="21"/>
                <w:szCs w:val="21"/>
              </w:rPr>
              <w:t>数据分析</w:t>
            </w:r>
          </w:p>
        </w:tc>
        <w:tc>
          <w:tcPr>
            <w:tcW w:w="3385" w:type="pct"/>
            <w:tcBorders>
              <w:top w:val="single" w:color="auto" w:sz="4" w:space="0"/>
              <w:left w:val="nil"/>
              <w:bottom w:val="single" w:color="auto" w:sz="4" w:space="0"/>
              <w:right w:val="single" w:color="auto" w:sz="4" w:space="0"/>
            </w:tcBorders>
            <w:shd w:val="clear" w:color="auto" w:fill="auto"/>
            <w:vAlign w:val="bottom"/>
          </w:tcPr>
          <w:p>
            <w:pPr>
              <w:spacing w:line="240" w:lineRule="atLeast"/>
              <w:outlineLvl w:val="0"/>
              <w:rPr>
                <w:rFonts w:hint="eastAsia"/>
                <w:sz w:val="21"/>
                <w:szCs w:val="21"/>
              </w:rPr>
            </w:pPr>
            <w:r>
              <w:rPr>
                <w:rFonts w:hint="eastAsia"/>
                <w:sz w:val="21"/>
                <w:szCs w:val="21"/>
              </w:rPr>
              <w:t>提供灵活的统计分析功能，从业务分析、违规分析两大维度进行分析。</w:t>
            </w:r>
          </w:p>
          <w:p>
            <w:pPr>
              <w:spacing w:line="240" w:lineRule="atLeast"/>
              <w:outlineLvl w:val="0"/>
              <w:rPr>
                <w:rFonts w:hint="eastAsia"/>
                <w:sz w:val="21"/>
                <w:szCs w:val="21"/>
              </w:rPr>
            </w:pPr>
            <w:r>
              <w:rPr>
                <w:rFonts w:hint="eastAsia"/>
                <w:sz w:val="21"/>
                <w:szCs w:val="21"/>
              </w:rPr>
              <w:t>（1）提供业务分析及违规单量统计功能，通过选定时间范围内，对总体业务、科室业务等维度进行钻取，分析医院和科室诊间审核的总体情况和违规情况；</w:t>
            </w:r>
          </w:p>
          <w:p>
            <w:pPr>
              <w:spacing w:line="240" w:lineRule="atLeast"/>
              <w:outlineLvl w:val="0"/>
              <w:rPr>
                <w:rFonts w:hint="eastAsia"/>
                <w:sz w:val="21"/>
                <w:szCs w:val="21"/>
              </w:rPr>
            </w:pPr>
            <w:r>
              <w:rPr>
                <w:rFonts w:hint="eastAsia"/>
                <w:sz w:val="21"/>
                <w:szCs w:val="21"/>
              </w:rPr>
              <w:t>（2）提供灵活的违规项目查询、违规项目分析及违规规则分析功能。支持查询选定时间范围内所有的违规单据项目信息，并从违规项目和违规规则角度进行汇总分析，为医院对审核中存在的问题进行针对性地改善和提高提供数据依据。</w:t>
            </w:r>
          </w:p>
        </w:tc>
      </w:tr>
      <w:tr>
        <w:tblPrEx>
          <w:tblCellMar>
            <w:top w:w="0" w:type="dxa"/>
            <w:left w:w="108" w:type="dxa"/>
            <w:bottom w:w="0" w:type="dxa"/>
            <w:right w:w="108" w:type="dxa"/>
          </w:tblCellMar>
        </w:tblPrEx>
        <w:trPr>
          <w:trHeight w:val="2016" w:hRule="atLeast"/>
        </w:trPr>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outlineLvl w:val="0"/>
              <w:rPr>
                <w:rFonts w:hint="eastAsia"/>
                <w:sz w:val="21"/>
                <w:szCs w:val="21"/>
              </w:rPr>
            </w:pPr>
            <w:r>
              <w:rPr>
                <w:rFonts w:hint="eastAsia"/>
                <w:sz w:val="21"/>
                <w:szCs w:val="21"/>
              </w:rPr>
              <w:t>5</w:t>
            </w:r>
          </w:p>
        </w:tc>
        <w:tc>
          <w:tcPr>
            <w:tcW w:w="1050" w:type="pct"/>
            <w:tcBorders>
              <w:top w:val="single" w:color="auto" w:sz="4" w:space="0"/>
              <w:left w:val="nil"/>
              <w:bottom w:val="single" w:color="auto" w:sz="4" w:space="0"/>
              <w:right w:val="single" w:color="auto" w:sz="4" w:space="0"/>
            </w:tcBorders>
            <w:shd w:val="clear" w:color="auto" w:fill="auto"/>
            <w:noWrap/>
            <w:vAlign w:val="center"/>
          </w:tcPr>
          <w:p>
            <w:pPr>
              <w:spacing w:line="240" w:lineRule="atLeast"/>
              <w:outlineLvl w:val="0"/>
              <w:rPr>
                <w:rFonts w:hint="eastAsia"/>
                <w:sz w:val="21"/>
                <w:szCs w:val="21"/>
              </w:rPr>
            </w:pPr>
            <w:r>
              <w:rPr>
                <w:rFonts w:hint="eastAsia"/>
                <w:sz w:val="21"/>
                <w:szCs w:val="21"/>
              </w:rPr>
              <w:t>系统管理</w:t>
            </w:r>
          </w:p>
        </w:tc>
        <w:tc>
          <w:tcPr>
            <w:tcW w:w="3385" w:type="pct"/>
            <w:tcBorders>
              <w:top w:val="single" w:color="auto" w:sz="4" w:space="0"/>
              <w:left w:val="nil"/>
              <w:bottom w:val="single" w:color="auto" w:sz="4" w:space="0"/>
              <w:right w:val="single" w:color="auto" w:sz="4" w:space="0"/>
            </w:tcBorders>
            <w:shd w:val="clear" w:color="auto" w:fill="auto"/>
            <w:vAlign w:val="bottom"/>
          </w:tcPr>
          <w:p>
            <w:pPr>
              <w:spacing w:line="240" w:lineRule="atLeast"/>
              <w:outlineLvl w:val="0"/>
              <w:rPr>
                <w:rFonts w:hint="eastAsia"/>
                <w:sz w:val="21"/>
                <w:szCs w:val="21"/>
              </w:rPr>
            </w:pPr>
          </w:p>
          <w:p>
            <w:pPr>
              <w:spacing w:line="240" w:lineRule="atLeast"/>
              <w:outlineLvl w:val="0"/>
              <w:rPr>
                <w:rFonts w:hint="eastAsia"/>
                <w:sz w:val="21"/>
                <w:szCs w:val="21"/>
              </w:rPr>
            </w:pPr>
            <w:r>
              <w:rPr>
                <w:rFonts w:hint="eastAsia"/>
                <w:sz w:val="21"/>
                <w:szCs w:val="21"/>
              </w:rPr>
              <w:t>可对系统进行用户角色、科室管理等自定义：</w:t>
            </w:r>
          </w:p>
          <w:p>
            <w:pPr>
              <w:spacing w:line="240" w:lineRule="atLeast"/>
              <w:outlineLvl w:val="0"/>
              <w:rPr>
                <w:rFonts w:hint="eastAsia"/>
                <w:sz w:val="21"/>
                <w:szCs w:val="21"/>
              </w:rPr>
            </w:pPr>
            <w:r>
              <w:rPr>
                <w:rFonts w:hint="eastAsia"/>
                <w:sz w:val="21"/>
                <w:szCs w:val="21"/>
              </w:rPr>
              <w:t>（1）用户管理：可以通过功能按钮区域新增、修改、删除、角色分配、科室分配进行对用户的基本操作。</w:t>
            </w:r>
          </w:p>
          <w:p>
            <w:pPr>
              <w:spacing w:line="240" w:lineRule="atLeast"/>
              <w:outlineLvl w:val="0"/>
              <w:rPr>
                <w:rFonts w:hint="eastAsia"/>
                <w:sz w:val="21"/>
                <w:szCs w:val="21"/>
              </w:rPr>
            </w:pPr>
            <w:r>
              <w:rPr>
                <w:rFonts w:hint="eastAsia"/>
                <w:sz w:val="21"/>
                <w:szCs w:val="21"/>
              </w:rPr>
              <w:t>（2）科室管理：可以通过检索条件区域的科室名称进行检索，并通过导入区域进行科室数据导入操作。</w:t>
            </w:r>
          </w:p>
        </w:tc>
      </w:tr>
    </w:tbl>
    <w:p>
      <w:pPr>
        <w:bidi w:val="0"/>
        <w:rPr>
          <w:lang w:val="en-US" w:eastAsia="zh-CN"/>
        </w:rPr>
      </w:pPr>
    </w:p>
    <w:p>
      <w:pPr>
        <w:pStyle w:val="4"/>
        <w:rPr>
          <w:rFonts w:hint="eastAsia"/>
          <w:lang w:val="en-US" w:eastAsia="zh-CN"/>
        </w:rPr>
      </w:pPr>
      <w:r>
        <w:rPr>
          <w:rFonts w:hint="eastAsia"/>
          <w:lang w:val="en-US" w:eastAsia="zh-CN"/>
        </w:rPr>
        <w:t>其他要求</w:t>
      </w:r>
    </w:p>
    <w:p>
      <w:pPr>
        <w:pStyle w:val="2"/>
        <w:numPr>
          <w:ilvl w:val="0"/>
          <w:numId w:val="0"/>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供应商应确保系统正常运行，所提供的系统能满足医院的实际需求，服务期间所进行的相关系统改造、调整等均不影响现有HIS系统的正常运行及各系统间的业务流程一体化运行，出现系统问题能及时提供解决方案。</w:t>
      </w:r>
    </w:p>
    <w:p>
      <w:pPr>
        <w:pStyle w:val="2"/>
        <w:numPr>
          <w:ilvl w:val="0"/>
          <w:numId w:val="0"/>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2、供应商应保证DRG预测分组及拨付指标准确率达到100%；</w:t>
      </w:r>
    </w:p>
    <w:p>
      <w:pPr>
        <w:pStyle w:val="2"/>
        <w:numPr>
          <w:ilvl w:val="0"/>
          <w:numId w:val="0"/>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3、供应商应提供与资阳市医保局DRG分组对接方案，当局端DRG分组方案发生变化时，院端DRG系统分组方案能够保持实时同步。</w:t>
      </w:r>
    </w:p>
    <w:p>
      <w:pPr>
        <w:pStyle w:val="2"/>
        <w:numPr>
          <w:ilvl w:val="0"/>
          <w:numId w:val="0"/>
        </w:numPr>
        <w:spacing w:line="360" w:lineRule="auto"/>
        <w:rPr>
          <w:rFonts w:hint="eastAsia"/>
          <w:lang w:val="en-US" w:eastAsia="zh-CN"/>
        </w:rPr>
      </w:pPr>
      <w:r>
        <w:rPr>
          <w:rFonts w:hint="eastAsia" w:ascii="宋体" w:hAnsi="宋体" w:eastAsia="宋体" w:cs="宋体"/>
          <w:kern w:val="0"/>
          <w:sz w:val="24"/>
          <w:szCs w:val="24"/>
          <w:lang w:val="en-US" w:eastAsia="zh-CN"/>
        </w:rPr>
        <w:t>4、供应商应向</w:t>
      </w:r>
      <w:r>
        <w:rPr>
          <w:rFonts w:hint="eastAsia" w:ascii="宋体" w:hAnsi="宋体" w:cs="宋体"/>
          <w:kern w:val="0"/>
          <w:sz w:val="24"/>
          <w:szCs w:val="24"/>
          <w:lang w:val="en-US" w:eastAsia="zh-CN"/>
        </w:rPr>
        <w:t>医院</w:t>
      </w:r>
      <w:r>
        <w:rPr>
          <w:rFonts w:hint="eastAsia" w:ascii="宋体" w:hAnsi="宋体" w:eastAsia="宋体" w:cs="宋体"/>
          <w:kern w:val="0"/>
          <w:sz w:val="24"/>
          <w:szCs w:val="24"/>
          <w:lang w:val="en-US" w:eastAsia="zh-CN"/>
        </w:rPr>
        <w:t>提供相关培训，保证采购人能够进行产品的操作、维护等工作。具体要求如下：</w:t>
      </w:r>
    </w:p>
    <w:p>
      <w:pPr>
        <w:pStyle w:val="2"/>
        <w:numPr>
          <w:ilvl w:val="0"/>
          <w:numId w:val="0"/>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（1）培训对象:</w:t>
      </w:r>
      <w:r>
        <w:rPr>
          <w:rFonts w:hint="eastAsia" w:ascii="宋体" w:hAnsi="宋体" w:cs="宋体"/>
          <w:kern w:val="0"/>
          <w:sz w:val="24"/>
          <w:szCs w:val="24"/>
          <w:lang w:val="en-US" w:eastAsia="zh-CN"/>
        </w:rPr>
        <w:t>医院人员</w:t>
      </w:r>
      <w:r>
        <w:rPr>
          <w:rFonts w:hint="eastAsia" w:ascii="宋体" w:hAnsi="宋体" w:eastAsia="宋体" w:cs="宋体"/>
          <w:kern w:val="0"/>
          <w:sz w:val="24"/>
          <w:szCs w:val="24"/>
          <w:lang w:val="en-US" w:eastAsia="zh-CN"/>
        </w:rPr>
        <w:t>及与本项目有关的其他人员；</w:t>
      </w:r>
    </w:p>
    <w:p>
      <w:pPr>
        <w:pStyle w:val="2"/>
        <w:numPr>
          <w:ilvl w:val="0"/>
          <w:numId w:val="0"/>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（2）培训内容:本项目所涉及的所有产品的基本原理、技术特性、操作使用方法、管理维护等；</w:t>
      </w:r>
    </w:p>
    <w:p>
      <w:pPr>
        <w:pStyle w:val="2"/>
        <w:numPr>
          <w:ilvl w:val="0"/>
          <w:numId w:val="0"/>
        </w:numPr>
        <w:spacing w:line="360" w:lineRule="auto"/>
        <w:rPr>
          <w:rFonts w:hint="default"/>
          <w:lang w:val="en-US" w:eastAsia="zh-CN"/>
        </w:rPr>
      </w:pPr>
      <w:r>
        <w:rPr>
          <w:rFonts w:hint="eastAsia" w:ascii="宋体" w:hAnsi="宋体" w:eastAsia="宋体" w:cs="宋体"/>
          <w:kern w:val="0"/>
          <w:sz w:val="24"/>
          <w:szCs w:val="24"/>
          <w:lang w:val="en-US" w:eastAsia="zh-CN"/>
        </w:rPr>
        <w:t>（3）培训日期及方式:根据项目进度合理安排，确保相关人员掌握培训内容；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iti SC Light">
    <w:altName w:val="Microsoft YaHei UI Light"/>
    <w:panose1 w:val="02000000000000000000"/>
    <w:charset w:val="50"/>
    <w:family w:val="auto"/>
    <w:pitch w:val="default"/>
    <w:sig w:usb0="00000000" w:usb1="00000000" w:usb2="00000000" w:usb3="00000000" w:csb0="0016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9A3C2"/>
    <w:multiLevelType w:val="singleLevel"/>
    <w:tmpl w:val="8929A3C2"/>
    <w:lvl w:ilvl="0" w:tentative="0">
      <w:start w:val="1"/>
      <w:numFmt w:val="decimal"/>
      <w:lvlText w:val="%1."/>
      <w:lvlJc w:val="left"/>
      <w:pPr>
        <w:tabs>
          <w:tab w:val="left" w:pos="312"/>
        </w:tabs>
      </w:pPr>
    </w:lvl>
  </w:abstractNum>
  <w:abstractNum w:abstractNumId="1">
    <w:nsid w:val="AA90508D"/>
    <w:multiLevelType w:val="singleLevel"/>
    <w:tmpl w:val="AA90508D"/>
    <w:lvl w:ilvl="0" w:tentative="0">
      <w:start w:val="1"/>
      <w:numFmt w:val="decimal"/>
      <w:lvlText w:val="%1."/>
      <w:lvlJc w:val="left"/>
      <w:pPr>
        <w:tabs>
          <w:tab w:val="left" w:pos="312"/>
        </w:tabs>
      </w:pPr>
    </w:lvl>
  </w:abstractNum>
  <w:abstractNum w:abstractNumId="2">
    <w:nsid w:val="C2C05C1E"/>
    <w:multiLevelType w:val="singleLevel"/>
    <w:tmpl w:val="C2C05C1E"/>
    <w:lvl w:ilvl="0" w:tentative="0">
      <w:start w:val="1"/>
      <w:numFmt w:val="decimal"/>
      <w:suff w:val="space"/>
      <w:lvlText w:val="%1."/>
      <w:lvlJc w:val="left"/>
    </w:lvl>
  </w:abstractNum>
  <w:abstractNum w:abstractNumId="3">
    <w:nsid w:val="C32D4CA7"/>
    <w:multiLevelType w:val="singleLevel"/>
    <w:tmpl w:val="C32D4CA7"/>
    <w:lvl w:ilvl="0" w:tentative="0">
      <w:start w:val="1"/>
      <w:numFmt w:val="decimal"/>
      <w:lvlText w:val="%1."/>
      <w:lvlJc w:val="left"/>
      <w:pPr>
        <w:tabs>
          <w:tab w:val="left" w:pos="312"/>
        </w:tabs>
      </w:pPr>
    </w:lvl>
  </w:abstractNum>
  <w:abstractNum w:abstractNumId="4">
    <w:nsid w:val="D87EDAC4"/>
    <w:multiLevelType w:val="singleLevel"/>
    <w:tmpl w:val="D87EDAC4"/>
    <w:lvl w:ilvl="0" w:tentative="0">
      <w:start w:val="1"/>
      <w:numFmt w:val="decimal"/>
      <w:suff w:val="nothing"/>
      <w:lvlText w:val="%1、"/>
      <w:lvlJc w:val="left"/>
    </w:lvl>
  </w:abstractNum>
  <w:abstractNum w:abstractNumId="5">
    <w:nsid w:val="18074B48"/>
    <w:multiLevelType w:val="singleLevel"/>
    <w:tmpl w:val="18074B48"/>
    <w:lvl w:ilvl="0" w:tentative="0">
      <w:start w:val="1"/>
      <w:numFmt w:val="chineseCounting"/>
      <w:lvlText w:val="%1."/>
      <w:lvlJc w:val="left"/>
      <w:pPr>
        <w:tabs>
          <w:tab w:val="left" w:pos="312"/>
        </w:tabs>
      </w:pPr>
      <w:rPr>
        <w:rFonts w:hint="eastAsia"/>
      </w:rPr>
    </w:lvl>
  </w:abstractNum>
  <w:abstractNum w:abstractNumId="6">
    <w:nsid w:val="2BDEDEEA"/>
    <w:multiLevelType w:val="singleLevel"/>
    <w:tmpl w:val="2BDEDEEA"/>
    <w:lvl w:ilvl="0" w:tentative="0">
      <w:start w:val="1"/>
      <w:numFmt w:val="decimal"/>
      <w:lvlText w:val="%1."/>
      <w:lvlJc w:val="left"/>
      <w:pPr>
        <w:tabs>
          <w:tab w:val="left" w:pos="312"/>
        </w:tabs>
      </w:pPr>
    </w:lvl>
  </w:abstractNum>
  <w:abstractNum w:abstractNumId="7">
    <w:nsid w:val="30068A73"/>
    <w:multiLevelType w:val="singleLevel"/>
    <w:tmpl w:val="30068A73"/>
    <w:lvl w:ilvl="0" w:tentative="0">
      <w:start w:val="1"/>
      <w:numFmt w:val="decimal"/>
      <w:lvlText w:val="%1."/>
      <w:lvlJc w:val="left"/>
      <w:pPr>
        <w:tabs>
          <w:tab w:val="left" w:pos="312"/>
        </w:tabs>
      </w:pPr>
    </w:lvl>
  </w:abstractNum>
  <w:abstractNum w:abstractNumId="8">
    <w:nsid w:val="5860742A"/>
    <w:multiLevelType w:val="multilevel"/>
    <w:tmpl w:val="5860742A"/>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8"/>
  </w:num>
  <w:num w:numId="2">
    <w:abstractNumId w:val="5"/>
  </w:num>
  <w:num w:numId="3">
    <w:abstractNumId w:val="1"/>
  </w:num>
  <w:num w:numId="4">
    <w:abstractNumId w:val="4"/>
  </w:num>
  <w:num w:numId="5">
    <w:abstractNumId w:val="7"/>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MmVmOTc4YTBjODU0MzI1MjJjMmQ0YmRkYjAyYTQifQ=="/>
  </w:docVars>
  <w:rsids>
    <w:rsidRoot w:val="00172A27"/>
    <w:rsid w:val="000074E6"/>
    <w:rsid w:val="000219F8"/>
    <w:rsid w:val="0003090A"/>
    <w:rsid w:val="00056BE5"/>
    <w:rsid w:val="00071979"/>
    <w:rsid w:val="00093978"/>
    <w:rsid w:val="000A5031"/>
    <w:rsid w:val="000A5EAC"/>
    <w:rsid w:val="000A7D0D"/>
    <w:rsid w:val="000B0F6D"/>
    <w:rsid w:val="000B6FF5"/>
    <w:rsid w:val="000C66DC"/>
    <w:rsid w:val="000E213A"/>
    <w:rsid w:val="000F0E67"/>
    <w:rsid w:val="00107779"/>
    <w:rsid w:val="00123F98"/>
    <w:rsid w:val="0013272B"/>
    <w:rsid w:val="0014750A"/>
    <w:rsid w:val="00165FCF"/>
    <w:rsid w:val="00172A27"/>
    <w:rsid w:val="001922E1"/>
    <w:rsid w:val="00194A0F"/>
    <w:rsid w:val="001A6AF4"/>
    <w:rsid w:val="001B4B32"/>
    <w:rsid w:val="001B5DDE"/>
    <w:rsid w:val="001D65EC"/>
    <w:rsid w:val="002049D6"/>
    <w:rsid w:val="002100B5"/>
    <w:rsid w:val="00255D30"/>
    <w:rsid w:val="00284ED9"/>
    <w:rsid w:val="002A6F7D"/>
    <w:rsid w:val="002A75A2"/>
    <w:rsid w:val="002B3BFE"/>
    <w:rsid w:val="002D71C1"/>
    <w:rsid w:val="00306685"/>
    <w:rsid w:val="003209F6"/>
    <w:rsid w:val="00324552"/>
    <w:rsid w:val="0033304D"/>
    <w:rsid w:val="003554EA"/>
    <w:rsid w:val="00361161"/>
    <w:rsid w:val="00370A07"/>
    <w:rsid w:val="003739E3"/>
    <w:rsid w:val="00384F54"/>
    <w:rsid w:val="003E4CA6"/>
    <w:rsid w:val="003E7117"/>
    <w:rsid w:val="003F4E40"/>
    <w:rsid w:val="004067E5"/>
    <w:rsid w:val="0041330B"/>
    <w:rsid w:val="00420D7A"/>
    <w:rsid w:val="004250DA"/>
    <w:rsid w:val="00425C33"/>
    <w:rsid w:val="0045246D"/>
    <w:rsid w:val="00460698"/>
    <w:rsid w:val="00482D01"/>
    <w:rsid w:val="004A3CA4"/>
    <w:rsid w:val="004A58FE"/>
    <w:rsid w:val="004D2CA4"/>
    <w:rsid w:val="004D711E"/>
    <w:rsid w:val="004E1709"/>
    <w:rsid w:val="0050108B"/>
    <w:rsid w:val="00514E38"/>
    <w:rsid w:val="0054287A"/>
    <w:rsid w:val="00566C42"/>
    <w:rsid w:val="00571E5D"/>
    <w:rsid w:val="00577760"/>
    <w:rsid w:val="005913BE"/>
    <w:rsid w:val="005C23CD"/>
    <w:rsid w:val="005D4DD4"/>
    <w:rsid w:val="005D52B5"/>
    <w:rsid w:val="006019EC"/>
    <w:rsid w:val="006122F8"/>
    <w:rsid w:val="00630B3F"/>
    <w:rsid w:val="0064383E"/>
    <w:rsid w:val="006655F8"/>
    <w:rsid w:val="00683A4F"/>
    <w:rsid w:val="00692371"/>
    <w:rsid w:val="00694D13"/>
    <w:rsid w:val="006A0832"/>
    <w:rsid w:val="006A7B06"/>
    <w:rsid w:val="006C7D2C"/>
    <w:rsid w:val="006E4BC9"/>
    <w:rsid w:val="00706FA3"/>
    <w:rsid w:val="00722D35"/>
    <w:rsid w:val="00726DD0"/>
    <w:rsid w:val="00772F88"/>
    <w:rsid w:val="007A072A"/>
    <w:rsid w:val="007B4186"/>
    <w:rsid w:val="007C51B7"/>
    <w:rsid w:val="007E3E19"/>
    <w:rsid w:val="00853CC7"/>
    <w:rsid w:val="00871F35"/>
    <w:rsid w:val="00875321"/>
    <w:rsid w:val="00897E6C"/>
    <w:rsid w:val="008A7C1D"/>
    <w:rsid w:val="008B1CDD"/>
    <w:rsid w:val="008F0510"/>
    <w:rsid w:val="00913727"/>
    <w:rsid w:val="00914A35"/>
    <w:rsid w:val="00940603"/>
    <w:rsid w:val="0095623F"/>
    <w:rsid w:val="00963F1C"/>
    <w:rsid w:val="0097397A"/>
    <w:rsid w:val="00995540"/>
    <w:rsid w:val="009B455E"/>
    <w:rsid w:val="009C09FE"/>
    <w:rsid w:val="009C55B3"/>
    <w:rsid w:val="009D13FC"/>
    <w:rsid w:val="009D39F6"/>
    <w:rsid w:val="009E2790"/>
    <w:rsid w:val="009F43D2"/>
    <w:rsid w:val="009F56AB"/>
    <w:rsid w:val="00A0647C"/>
    <w:rsid w:val="00A23940"/>
    <w:rsid w:val="00A43AE2"/>
    <w:rsid w:val="00A5306D"/>
    <w:rsid w:val="00A562E5"/>
    <w:rsid w:val="00A869C0"/>
    <w:rsid w:val="00A9009F"/>
    <w:rsid w:val="00AA4B5A"/>
    <w:rsid w:val="00AA6E41"/>
    <w:rsid w:val="00AC1186"/>
    <w:rsid w:val="00AE0DF0"/>
    <w:rsid w:val="00AE0FE2"/>
    <w:rsid w:val="00AE5BAD"/>
    <w:rsid w:val="00AF0360"/>
    <w:rsid w:val="00AF409B"/>
    <w:rsid w:val="00B03FB8"/>
    <w:rsid w:val="00B16281"/>
    <w:rsid w:val="00B2287D"/>
    <w:rsid w:val="00B43629"/>
    <w:rsid w:val="00B74C3F"/>
    <w:rsid w:val="00B82142"/>
    <w:rsid w:val="00BD553B"/>
    <w:rsid w:val="00BF1991"/>
    <w:rsid w:val="00C23CAD"/>
    <w:rsid w:val="00C363A8"/>
    <w:rsid w:val="00C43958"/>
    <w:rsid w:val="00C73B72"/>
    <w:rsid w:val="00C96193"/>
    <w:rsid w:val="00CA04D6"/>
    <w:rsid w:val="00CA48FB"/>
    <w:rsid w:val="00CB1814"/>
    <w:rsid w:val="00CD1DD9"/>
    <w:rsid w:val="00CD3275"/>
    <w:rsid w:val="00CE663F"/>
    <w:rsid w:val="00D06538"/>
    <w:rsid w:val="00D142EF"/>
    <w:rsid w:val="00D17D90"/>
    <w:rsid w:val="00D22E96"/>
    <w:rsid w:val="00D5317F"/>
    <w:rsid w:val="00D8422E"/>
    <w:rsid w:val="00D90F1B"/>
    <w:rsid w:val="00DD3EFE"/>
    <w:rsid w:val="00DE2F9B"/>
    <w:rsid w:val="00E015ED"/>
    <w:rsid w:val="00E071B0"/>
    <w:rsid w:val="00E14BE8"/>
    <w:rsid w:val="00E30491"/>
    <w:rsid w:val="00E343B7"/>
    <w:rsid w:val="00E57FA5"/>
    <w:rsid w:val="00ED3672"/>
    <w:rsid w:val="00F14184"/>
    <w:rsid w:val="00F21DE7"/>
    <w:rsid w:val="00F25AE0"/>
    <w:rsid w:val="00F35622"/>
    <w:rsid w:val="00F6233C"/>
    <w:rsid w:val="00F82B7C"/>
    <w:rsid w:val="00FA4F10"/>
    <w:rsid w:val="00FA6C3A"/>
    <w:rsid w:val="00FA71B7"/>
    <w:rsid w:val="00FB44B1"/>
    <w:rsid w:val="00FC28A4"/>
    <w:rsid w:val="00FD0A02"/>
    <w:rsid w:val="026D52B1"/>
    <w:rsid w:val="03C8165D"/>
    <w:rsid w:val="0A5C1287"/>
    <w:rsid w:val="13AD3F51"/>
    <w:rsid w:val="14E810B3"/>
    <w:rsid w:val="1A281320"/>
    <w:rsid w:val="1F240CB5"/>
    <w:rsid w:val="1F814534"/>
    <w:rsid w:val="1F8C14DB"/>
    <w:rsid w:val="228A7081"/>
    <w:rsid w:val="23CE105F"/>
    <w:rsid w:val="2C7529BB"/>
    <w:rsid w:val="2F176141"/>
    <w:rsid w:val="31945661"/>
    <w:rsid w:val="33E9153E"/>
    <w:rsid w:val="3AC058DE"/>
    <w:rsid w:val="3B1E3760"/>
    <w:rsid w:val="3CA00E2C"/>
    <w:rsid w:val="3D3C2C51"/>
    <w:rsid w:val="3E1F7418"/>
    <w:rsid w:val="40A75F4E"/>
    <w:rsid w:val="411B3011"/>
    <w:rsid w:val="49084B58"/>
    <w:rsid w:val="4EF040F7"/>
    <w:rsid w:val="500258B6"/>
    <w:rsid w:val="57A51B5F"/>
    <w:rsid w:val="584F28F9"/>
    <w:rsid w:val="598C5A0A"/>
    <w:rsid w:val="68FF26D6"/>
    <w:rsid w:val="6F035526"/>
    <w:rsid w:val="70CE7706"/>
    <w:rsid w:val="75CB6C89"/>
    <w:rsid w:val="785D5F3F"/>
    <w:rsid w:val="EBFF66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5"/>
    <w:next w:val="1"/>
    <w:qFormat/>
    <w:uiPriority w:val="0"/>
    <w:pPr>
      <w:keepNext/>
      <w:keepLines/>
      <w:numPr>
        <w:ilvl w:val="0"/>
        <w:numId w:val="1"/>
      </w:numPr>
      <w:spacing w:before="220" w:after="120" w:line="600" w:lineRule="exact"/>
      <w:jc w:val="left"/>
      <w:outlineLvl w:val="0"/>
    </w:pPr>
    <w:rPr>
      <w:rFonts w:eastAsia="黑体"/>
      <w:kern w:val="44"/>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0"/>
    </w:rPr>
  </w:style>
  <w:style w:type="paragraph" w:styleId="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Normal Indent"/>
    <w:basedOn w:val="1"/>
    <w:next w:val="1"/>
    <w:semiHidden/>
    <w:unhideWhenUsed/>
    <w:qFormat/>
    <w:uiPriority w:val="99"/>
    <w:pPr>
      <w:spacing w:line="360" w:lineRule="auto"/>
      <w:ind w:firstLine="420" w:firstLineChars="200"/>
    </w:pPr>
    <w:rPr>
      <w:rFonts w:ascii="Times New Roman" w:hAnsi="Times New Roman"/>
      <w:kern w:val="0"/>
      <w:sz w:val="24"/>
      <w:szCs w:val="24"/>
    </w:rPr>
  </w:style>
  <w:style w:type="paragraph" w:styleId="7">
    <w:name w:val="Document Map"/>
    <w:basedOn w:val="1"/>
    <w:link w:val="24"/>
    <w:semiHidden/>
    <w:unhideWhenUsed/>
    <w:qFormat/>
    <w:uiPriority w:val="99"/>
    <w:rPr>
      <w:rFonts w:ascii="Heiti SC Light" w:eastAsia="Heiti SC Light"/>
    </w:rPr>
  </w:style>
  <w:style w:type="paragraph" w:styleId="8">
    <w:name w:val="annotation text"/>
    <w:basedOn w:val="1"/>
    <w:link w:val="22"/>
    <w:semiHidden/>
    <w:unhideWhenUsed/>
    <w:qFormat/>
    <w:uiPriority w:val="99"/>
  </w:style>
  <w:style w:type="paragraph" w:styleId="9">
    <w:name w:val="Balloon Text"/>
    <w:basedOn w:val="1"/>
    <w:link w:val="21"/>
    <w:semiHidden/>
    <w:unhideWhenUsed/>
    <w:qFormat/>
    <w:uiPriority w:val="99"/>
    <w:rPr>
      <w:sz w:val="18"/>
      <w:szCs w:val="18"/>
    </w:rPr>
  </w:style>
  <w:style w:type="paragraph" w:styleId="10">
    <w:name w:val="footer"/>
    <w:basedOn w:val="1"/>
    <w:link w:val="20"/>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1">
    <w:name w:val="header"/>
    <w:basedOn w:val="1"/>
    <w:link w:val="25"/>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2">
    <w:name w:val="index 1"/>
    <w:basedOn w:val="1"/>
    <w:next w:val="1"/>
    <w:semiHidden/>
    <w:unhideWhenUsed/>
    <w:qFormat/>
    <w:uiPriority w:val="99"/>
  </w:style>
  <w:style w:type="paragraph" w:styleId="13">
    <w:name w:val="annotation subject"/>
    <w:basedOn w:val="8"/>
    <w:next w:val="8"/>
    <w:link w:val="23"/>
    <w:semiHidden/>
    <w:unhideWhenUsed/>
    <w:qFormat/>
    <w:uiPriority w:val="99"/>
    <w:rPr>
      <w:b/>
      <w:bCs/>
    </w:rPr>
  </w:style>
  <w:style w:type="paragraph" w:styleId="14">
    <w:name w:val="Body Text First Indent"/>
    <w:basedOn w:val="2"/>
    <w:qFormat/>
    <w:uiPriority w:val="0"/>
    <w:pPr>
      <w:spacing w:line="360" w:lineRule="auto"/>
      <w:ind w:firstLine="420" w:firstLineChars="100"/>
    </w:pPr>
    <w:rPr>
      <w:rFonts w:ascii="Arial" w:hAnsi="Arial"/>
    </w:rPr>
  </w:style>
  <w:style w:type="table" w:styleId="16">
    <w:name w:val="Table Grid"/>
    <w:basedOn w:val="15"/>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character" w:customStyle="1" w:styleId="19">
    <w:name w:val="页眉字符"/>
    <w:basedOn w:val="17"/>
    <w:qFormat/>
    <w:uiPriority w:val="99"/>
    <w:rPr>
      <w:sz w:val="18"/>
      <w:szCs w:val="18"/>
    </w:rPr>
  </w:style>
  <w:style w:type="character" w:customStyle="1" w:styleId="20">
    <w:name w:val="页脚 Char"/>
    <w:basedOn w:val="17"/>
    <w:link w:val="10"/>
    <w:qFormat/>
    <w:uiPriority w:val="99"/>
    <w:rPr>
      <w:sz w:val="18"/>
      <w:szCs w:val="18"/>
    </w:rPr>
  </w:style>
  <w:style w:type="character" w:customStyle="1" w:styleId="21">
    <w:name w:val="批注框文本 Char"/>
    <w:basedOn w:val="17"/>
    <w:link w:val="9"/>
    <w:semiHidden/>
    <w:qFormat/>
    <w:uiPriority w:val="99"/>
    <w:rPr>
      <w:rFonts w:ascii="宋体" w:hAnsi="宋体" w:eastAsia="宋体" w:cs="宋体"/>
      <w:kern w:val="0"/>
      <w:sz w:val="18"/>
      <w:szCs w:val="18"/>
    </w:rPr>
  </w:style>
  <w:style w:type="character" w:customStyle="1" w:styleId="22">
    <w:name w:val="批注文字 Char"/>
    <w:basedOn w:val="17"/>
    <w:link w:val="8"/>
    <w:semiHidden/>
    <w:qFormat/>
    <w:uiPriority w:val="99"/>
    <w:rPr>
      <w:rFonts w:ascii="宋体" w:hAnsi="宋体" w:eastAsia="宋体" w:cs="宋体"/>
      <w:kern w:val="0"/>
      <w:sz w:val="24"/>
      <w:szCs w:val="24"/>
    </w:rPr>
  </w:style>
  <w:style w:type="character" w:customStyle="1" w:styleId="23">
    <w:name w:val="批注主题 Char"/>
    <w:basedOn w:val="22"/>
    <w:link w:val="13"/>
    <w:semiHidden/>
    <w:qFormat/>
    <w:uiPriority w:val="99"/>
    <w:rPr>
      <w:rFonts w:ascii="宋体" w:hAnsi="宋体" w:eastAsia="宋体" w:cs="宋体"/>
      <w:b/>
      <w:bCs/>
      <w:kern w:val="0"/>
      <w:sz w:val="24"/>
      <w:szCs w:val="24"/>
    </w:rPr>
  </w:style>
  <w:style w:type="character" w:customStyle="1" w:styleId="24">
    <w:name w:val="文档结构图 Char"/>
    <w:basedOn w:val="17"/>
    <w:link w:val="7"/>
    <w:semiHidden/>
    <w:qFormat/>
    <w:uiPriority w:val="99"/>
    <w:rPr>
      <w:rFonts w:ascii="Heiti SC Light" w:hAnsi="宋体" w:eastAsia="Heiti SC Light" w:cs="宋体"/>
      <w:kern w:val="0"/>
      <w:sz w:val="24"/>
      <w:szCs w:val="24"/>
    </w:rPr>
  </w:style>
  <w:style w:type="character" w:customStyle="1" w:styleId="25">
    <w:name w:val="页眉 Char"/>
    <w:basedOn w:val="17"/>
    <w:link w:val="11"/>
    <w:qFormat/>
    <w:uiPriority w:val="0"/>
    <w:rPr>
      <w:rFonts w:hint="default"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6273</Words>
  <Characters>6450</Characters>
  <Lines>13</Lines>
  <Paragraphs>3</Paragraphs>
  <TotalTime>30</TotalTime>
  <ScaleCrop>false</ScaleCrop>
  <LinksUpToDate>false</LinksUpToDate>
  <CharactersWithSpaces>6452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2021-05-08T15:23:00Z</dcterms:created>
  <dc:creator>dell</dc:creator>
  <cp:lastModifiedBy>weektiger</cp:lastModifiedBy>
  <dcterms:modified xsi:type="dcterms:W3CDTF">2023-05-29T03:48:53Z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EFEB9E5B70304D20A4432D5258262273_13</vt:lpwstr>
  </property>
</Properties>
</file>